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570" w:rsidRPr="0068260A" w:rsidRDefault="004A7520" w:rsidP="004A7520">
      <w:pPr>
        <w:jc w:val="center"/>
        <w:rPr>
          <w:b/>
          <w:lang w:val="en-US"/>
        </w:rPr>
      </w:pPr>
      <w:r w:rsidRPr="0068260A">
        <w:rPr>
          <w:b/>
          <w:lang w:val="en-US"/>
        </w:rPr>
        <w:t xml:space="preserve">ANNOUNCEMENT FOR </w:t>
      </w:r>
      <w:r w:rsidR="00BF4490" w:rsidRPr="0068260A">
        <w:rPr>
          <w:b/>
          <w:lang w:val="en-US"/>
        </w:rPr>
        <w:t xml:space="preserve">A </w:t>
      </w:r>
      <w:r w:rsidRPr="0068260A">
        <w:rPr>
          <w:b/>
          <w:lang w:val="en-US"/>
        </w:rPr>
        <w:t xml:space="preserve">SEALED-BID AUCTON FOR THE SALE OF </w:t>
      </w:r>
      <w:r w:rsidR="00A12621" w:rsidRPr="0068260A">
        <w:rPr>
          <w:b/>
          <w:lang w:val="en-US"/>
        </w:rPr>
        <w:t>1 </w:t>
      </w:r>
      <w:r w:rsidR="00B124A0" w:rsidRPr="0068260A">
        <w:rPr>
          <w:b/>
        </w:rPr>
        <w:t>685</w:t>
      </w:r>
      <w:r w:rsidR="00A12621" w:rsidRPr="0068260A">
        <w:rPr>
          <w:b/>
          <w:lang w:val="en-US"/>
        </w:rPr>
        <w:t xml:space="preserve"> GOODS WAGONS</w:t>
      </w:r>
      <w:r w:rsidRPr="0068260A">
        <w:rPr>
          <w:b/>
          <w:lang w:val="en-US"/>
        </w:rPr>
        <w:t xml:space="preserve"> PLEDGED </w:t>
      </w:r>
      <w:r w:rsidR="00A12621" w:rsidRPr="0068260A">
        <w:rPr>
          <w:b/>
          <w:lang w:val="en-US"/>
        </w:rPr>
        <w:t xml:space="preserve">IN FAVOR OF BULGARIAN DEVELOPMENT BANK </w:t>
      </w:r>
      <w:r w:rsidRPr="0068260A">
        <w:rPr>
          <w:b/>
          <w:lang w:val="en-US"/>
        </w:rPr>
        <w:t>UNDER THE REGISTERED PLEDGES ACT</w:t>
      </w:r>
    </w:p>
    <w:p w:rsidR="004A7520" w:rsidRPr="0068260A" w:rsidRDefault="004A7520">
      <w:pPr>
        <w:rPr>
          <w:lang w:val="en-US"/>
        </w:rPr>
      </w:pPr>
    </w:p>
    <w:p w:rsidR="004A7520" w:rsidRPr="0068260A" w:rsidRDefault="004A7520">
      <w:pPr>
        <w:rPr>
          <w:lang w:val="en-US"/>
        </w:rPr>
      </w:pPr>
    </w:p>
    <w:p w:rsidR="004A7520" w:rsidRPr="0068260A" w:rsidRDefault="004A7520">
      <w:pPr>
        <w:rPr>
          <w:lang w:val="en-US"/>
        </w:rPr>
      </w:pPr>
      <w:r w:rsidRPr="0068260A">
        <w:rPr>
          <w:lang w:val="en-US"/>
        </w:rPr>
        <w:t xml:space="preserve">Bulgarian </w:t>
      </w:r>
      <w:r w:rsidR="00DD2570" w:rsidRPr="0068260A">
        <w:rPr>
          <w:lang w:val="en-US"/>
        </w:rPr>
        <w:t xml:space="preserve">Development Bank AD </w:t>
      </w:r>
      <w:r w:rsidRPr="0068260A">
        <w:rPr>
          <w:lang w:val="en-US"/>
        </w:rPr>
        <w:t xml:space="preserve">(BDB, the Bank) is selling </w:t>
      </w:r>
      <w:r w:rsidR="00702EFA" w:rsidRPr="0068260A">
        <w:rPr>
          <w:lang w:val="en-US"/>
        </w:rPr>
        <w:t>1</w:t>
      </w:r>
      <w:r w:rsidR="00B124A0" w:rsidRPr="0068260A">
        <w:rPr>
          <w:lang w:val="en-US"/>
        </w:rPr>
        <w:t> </w:t>
      </w:r>
      <w:r w:rsidR="00B124A0" w:rsidRPr="0068260A">
        <w:t xml:space="preserve">685 </w:t>
      </w:r>
      <w:r w:rsidRPr="0068260A">
        <w:rPr>
          <w:lang w:val="en-US"/>
        </w:rPr>
        <w:t xml:space="preserve">goods wagons, owned by Holding BDZ, pledged </w:t>
      </w:r>
      <w:r w:rsidR="00DD2570" w:rsidRPr="0068260A">
        <w:rPr>
          <w:lang w:val="en-US"/>
        </w:rPr>
        <w:t xml:space="preserve">in favor of BDB </w:t>
      </w:r>
      <w:r w:rsidRPr="0068260A">
        <w:rPr>
          <w:lang w:val="en-US"/>
        </w:rPr>
        <w:t>under the Registered Pledges Act (RPA), which are object of enforcement under RPA with entry №</w:t>
      </w:r>
      <w:r w:rsidR="003B75F7" w:rsidRPr="0068260A">
        <w:t xml:space="preserve"> </w:t>
      </w:r>
      <w:r w:rsidR="003B75F7" w:rsidRPr="0068260A">
        <w:rPr>
          <w:lang w:val="en-US"/>
        </w:rPr>
        <w:t>2016092800780</w:t>
      </w:r>
      <w:r w:rsidR="003B75F7" w:rsidRPr="0068260A">
        <w:t xml:space="preserve"> </w:t>
      </w:r>
      <w:r w:rsidRPr="0068260A">
        <w:rPr>
          <w:lang w:val="en-US"/>
        </w:rPr>
        <w:t xml:space="preserve">in the Central </w:t>
      </w:r>
      <w:r w:rsidR="007D7FB1" w:rsidRPr="0068260A">
        <w:rPr>
          <w:lang w:val="en-US"/>
        </w:rPr>
        <w:t>Register of Registered Pledges</w:t>
      </w:r>
      <w:r w:rsidRPr="0068260A">
        <w:rPr>
          <w:lang w:val="en-US"/>
        </w:rPr>
        <w:t xml:space="preserve">. </w:t>
      </w:r>
    </w:p>
    <w:p w:rsidR="004A7520" w:rsidRPr="0068260A" w:rsidRDefault="00565B3F">
      <w:pPr>
        <w:rPr>
          <w:lang w:val="en-US"/>
        </w:rPr>
      </w:pPr>
      <w:r w:rsidRPr="0068260A">
        <w:rPr>
          <w:lang w:val="en-US"/>
        </w:rPr>
        <w:t>The goods wagons</w:t>
      </w:r>
      <w:r w:rsidR="004A7520" w:rsidRPr="0068260A">
        <w:rPr>
          <w:lang w:val="en-US"/>
        </w:rPr>
        <w:t xml:space="preserve"> are divided in </w:t>
      </w:r>
      <w:r w:rsidR="00702EFA" w:rsidRPr="0068260A">
        <w:rPr>
          <w:lang w:val="en-US"/>
        </w:rPr>
        <w:t xml:space="preserve">1 </w:t>
      </w:r>
      <w:r w:rsidR="00B124A0" w:rsidRPr="0068260A">
        <w:t>685</w:t>
      </w:r>
      <w:r w:rsidR="004A7520" w:rsidRPr="0068260A">
        <w:rPr>
          <w:lang w:val="en-US"/>
        </w:rPr>
        <w:t xml:space="preserve"> lots and are being offered in their present condition. </w:t>
      </w:r>
    </w:p>
    <w:p w:rsidR="00565B3F" w:rsidRPr="0068260A" w:rsidRDefault="00565B3F" w:rsidP="00565B3F">
      <w:pPr>
        <w:rPr>
          <w:lang w:val="en-US"/>
        </w:rPr>
      </w:pPr>
      <w:r w:rsidRPr="0068260A">
        <w:rPr>
          <w:lang w:val="en-US"/>
        </w:rPr>
        <w:t xml:space="preserve">The sale will be held </w:t>
      </w:r>
      <w:r w:rsidR="00353F43" w:rsidRPr="0068260A">
        <w:rPr>
          <w:lang w:val="en-US"/>
        </w:rPr>
        <w:t xml:space="preserve">via a sealed-bid auction </w:t>
      </w:r>
      <w:r w:rsidRPr="0068260A">
        <w:rPr>
          <w:lang w:val="en-US"/>
        </w:rPr>
        <w:t xml:space="preserve">under the terms and conditions stipulated in “Rules </w:t>
      </w:r>
      <w:r w:rsidR="00AA7331" w:rsidRPr="0068260A">
        <w:rPr>
          <w:lang w:val="en-US"/>
        </w:rPr>
        <w:t xml:space="preserve">of auction </w:t>
      </w:r>
      <w:r w:rsidRPr="0068260A">
        <w:rPr>
          <w:lang w:val="en-US"/>
        </w:rPr>
        <w:t>for sale of property, pledged under the procedure of the Registered Pledges Act”</w:t>
      </w:r>
      <w:r w:rsidR="004A7520" w:rsidRPr="0068260A">
        <w:rPr>
          <w:lang w:val="en-US"/>
        </w:rPr>
        <w:t xml:space="preserve"> </w:t>
      </w:r>
      <w:r w:rsidRPr="0068260A">
        <w:rPr>
          <w:lang w:val="en-US"/>
        </w:rPr>
        <w:t xml:space="preserve">with starting bidding price for each lot described in Appendix 1 to the Auction documentation. The bidding increment for each lot is 10% of the starting bidding price. Example of the calculation of the bidding increment is presented in </w:t>
      </w:r>
      <w:r w:rsidR="00C87E6D" w:rsidRPr="0068260A">
        <w:rPr>
          <w:lang w:val="en-US"/>
        </w:rPr>
        <w:t>Appendix</w:t>
      </w:r>
      <w:r w:rsidRPr="0068260A">
        <w:rPr>
          <w:lang w:val="en-US"/>
        </w:rPr>
        <w:t xml:space="preserve"> 4 to the Auction documentation. The bidding offer cannot be </w:t>
      </w:r>
      <w:r w:rsidR="00DD2570" w:rsidRPr="0068260A">
        <w:rPr>
          <w:lang w:val="en-US"/>
        </w:rPr>
        <w:t xml:space="preserve">lower than </w:t>
      </w:r>
      <w:r w:rsidRPr="0068260A">
        <w:rPr>
          <w:lang w:val="en-US"/>
        </w:rPr>
        <w:t>the starting bidding price</w:t>
      </w:r>
      <w:r w:rsidR="00C87E6D" w:rsidRPr="0068260A">
        <w:t xml:space="preserve"> </w:t>
      </w:r>
      <w:r w:rsidR="00C87E6D" w:rsidRPr="0068260A">
        <w:rPr>
          <w:lang w:val="en-US"/>
        </w:rPr>
        <w:t>f</w:t>
      </w:r>
      <w:r w:rsidRPr="0068260A">
        <w:rPr>
          <w:lang w:val="en-US"/>
        </w:rPr>
        <w:t xml:space="preserve">or the respective lot. </w:t>
      </w:r>
    </w:p>
    <w:p w:rsidR="00565B3F" w:rsidRPr="0068260A" w:rsidRDefault="00565B3F" w:rsidP="00565B3F">
      <w:pPr>
        <w:rPr>
          <w:lang w:val="en-US"/>
        </w:rPr>
      </w:pPr>
      <w:r w:rsidRPr="0068260A">
        <w:rPr>
          <w:lang w:val="en-US"/>
        </w:rPr>
        <w:t>The auction terms, description</w:t>
      </w:r>
      <w:r w:rsidR="00125D13" w:rsidRPr="0068260A">
        <w:rPr>
          <w:lang w:val="en-US"/>
        </w:rPr>
        <w:t xml:space="preserve"> of the lots of goods wagons</w:t>
      </w:r>
      <w:r w:rsidRPr="0068260A">
        <w:rPr>
          <w:lang w:val="en-US"/>
        </w:rPr>
        <w:t xml:space="preserve">, subject to sale (described by number, series and location) and the starting bidding price for each lot (Appendix 1 to the Auction documentation), as well as </w:t>
      </w:r>
      <w:r w:rsidR="00DD2570" w:rsidRPr="0068260A">
        <w:rPr>
          <w:lang w:val="en-US"/>
        </w:rPr>
        <w:t xml:space="preserve">templates </w:t>
      </w:r>
      <w:r w:rsidRPr="0068260A">
        <w:rPr>
          <w:lang w:val="en-US"/>
        </w:rPr>
        <w:t xml:space="preserve">of the necessary documents that the candidates should submit for participation, are available </w:t>
      </w:r>
      <w:r w:rsidR="002C4CBA" w:rsidRPr="0068260A">
        <w:rPr>
          <w:lang w:val="en-US"/>
        </w:rPr>
        <w:t xml:space="preserve">for download bellow this announcement. </w:t>
      </w:r>
    </w:p>
    <w:p w:rsidR="004A7520" w:rsidRPr="0068260A" w:rsidRDefault="002C10EF" w:rsidP="00565B3F">
      <w:pPr>
        <w:rPr>
          <w:lang w:val="en-US"/>
        </w:rPr>
      </w:pPr>
      <w:r w:rsidRPr="0068260A">
        <w:rPr>
          <w:lang w:val="en-US"/>
        </w:rPr>
        <w:t>Participants</w:t>
      </w:r>
      <w:r w:rsidR="00DD2570" w:rsidRPr="0068260A">
        <w:rPr>
          <w:lang w:val="en-US"/>
        </w:rPr>
        <w:t xml:space="preserve"> are required to provide a </w:t>
      </w:r>
      <w:r w:rsidRPr="0068260A">
        <w:rPr>
          <w:lang w:val="en-US"/>
        </w:rPr>
        <w:t xml:space="preserve">deposit </w:t>
      </w:r>
      <w:r w:rsidR="00DD2570" w:rsidRPr="0068260A">
        <w:rPr>
          <w:lang w:val="en-US"/>
        </w:rPr>
        <w:t>amounting to</w:t>
      </w:r>
      <w:r w:rsidRPr="0068260A">
        <w:rPr>
          <w:lang w:val="en-US"/>
        </w:rPr>
        <w:t xml:space="preserve"> 10% </w:t>
      </w:r>
      <w:r w:rsidR="00DD2570" w:rsidRPr="0068260A">
        <w:rPr>
          <w:lang w:val="en-US"/>
        </w:rPr>
        <w:t xml:space="preserve">of </w:t>
      </w:r>
      <w:r w:rsidRPr="0068260A">
        <w:rPr>
          <w:lang w:val="en-US"/>
        </w:rPr>
        <w:t xml:space="preserve">the starting bidding price for the lot/s for which a bidding proposal is submitted. The deposit is payable to </w:t>
      </w:r>
      <w:r w:rsidR="00D70111" w:rsidRPr="0068260A">
        <w:rPr>
          <w:lang w:val="en-US"/>
        </w:rPr>
        <w:t>the bank account of the deposita</w:t>
      </w:r>
      <w:r w:rsidRPr="0068260A">
        <w:rPr>
          <w:lang w:val="en-US"/>
        </w:rPr>
        <w:t>r</w:t>
      </w:r>
      <w:r w:rsidR="00D70111" w:rsidRPr="0068260A">
        <w:rPr>
          <w:lang w:val="en-US"/>
        </w:rPr>
        <w:t>y</w:t>
      </w:r>
      <w:r w:rsidRPr="0068260A">
        <w:rPr>
          <w:lang w:val="en-US"/>
        </w:rPr>
        <w:t xml:space="preserve"> under RPA: Mr. Ivan Lichev, IBAN BG 71 NASB 9620 10 10008402, BIC: NASBBGSF</w:t>
      </w:r>
      <w:r w:rsidRPr="0068260A">
        <w:rPr>
          <w:b/>
          <w:szCs w:val="24"/>
          <w:lang w:val="en-US"/>
        </w:rPr>
        <w:t xml:space="preserve">, </w:t>
      </w:r>
      <w:r w:rsidR="00DD2570" w:rsidRPr="0068260A">
        <w:rPr>
          <w:lang w:val="en-US"/>
        </w:rPr>
        <w:t>held with the</w:t>
      </w:r>
      <w:r w:rsidRPr="0068260A">
        <w:rPr>
          <w:lang w:val="en-US"/>
        </w:rPr>
        <w:t xml:space="preserve"> Bulgarian Development Bank</w:t>
      </w:r>
      <w:r w:rsidR="00DD2570" w:rsidRPr="0068260A">
        <w:rPr>
          <w:lang w:val="en-US"/>
        </w:rPr>
        <w:t xml:space="preserve"> AD</w:t>
      </w:r>
      <w:r w:rsidRPr="0068260A">
        <w:rPr>
          <w:lang w:val="en-US"/>
        </w:rPr>
        <w:t xml:space="preserve">. </w:t>
      </w:r>
    </w:p>
    <w:p w:rsidR="002C10EF" w:rsidRPr="0068260A" w:rsidRDefault="002C10EF" w:rsidP="00F312A4">
      <w:pPr>
        <w:tabs>
          <w:tab w:val="left" w:pos="8789"/>
        </w:tabs>
        <w:rPr>
          <w:lang w:val="en-US"/>
        </w:rPr>
      </w:pPr>
      <w:r w:rsidRPr="0068260A">
        <w:rPr>
          <w:lang w:val="en-US"/>
        </w:rPr>
        <w:t xml:space="preserve">The goods wagons, subject to sale, can be </w:t>
      </w:r>
      <w:r w:rsidR="00C54530" w:rsidRPr="0068260A">
        <w:rPr>
          <w:lang w:val="en-US"/>
        </w:rPr>
        <w:t xml:space="preserve">inspected </w:t>
      </w:r>
      <w:r w:rsidRPr="0068260A">
        <w:rPr>
          <w:lang w:val="en-US"/>
        </w:rPr>
        <w:t xml:space="preserve">until </w:t>
      </w:r>
      <w:r w:rsidR="00B124A0" w:rsidRPr="0068260A">
        <w:rPr>
          <w:szCs w:val="24"/>
          <w:lang w:val="en-US"/>
        </w:rPr>
        <w:t>05</w:t>
      </w:r>
      <w:r w:rsidR="00B124A0" w:rsidRPr="0068260A">
        <w:rPr>
          <w:szCs w:val="24"/>
        </w:rPr>
        <w:t>.10</w:t>
      </w:r>
      <w:r w:rsidR="00B124A0" w:rsidRPr="0068260A">
        <w:rPr>
          <w:szCs w:val="24"/>
          <w:lang w:val="en-US"/>
        </w:rPr>
        <w:t>.2017</w:t>
      </w:r>
      <w:r w:rsidRPr="0068260A">
        <w:rPr>
          <w:lang w:val="en-US"/>
        </w:rPr>
        <w:t xml:space="preserve">, </w:t>
      </w:r>
      <w:r w:rsidR="009A4EB8" w:rsidRPr="0068260A">
        <w:rPr>
          <w:lang w:val="en-US"/>
        </w:rPr>
        <w:t>every business day, between 08:3</w:t>
      </w:r>
      <w:r w:rsidRPr="0068260A">
        <w:rPr>
          <w:lang w:val="en-US"/>
        </w:rPr>
        <w:t xml:space="preserve">0 and 16:00 at their locations, after notification </w:t>
      </w:r>
      <w:r w:rsidR="00C54530" w:rsidRPr="0068260A">
        <w:rPr>
          <w:lang w:val="en-US"/>
        </w:rPr>
        <w:t xml:space="preserve">of </w:t>
      </w:r>
      <w:r w:rsidRPr="0068260A">
        <w:rPr>
          <w:lang w:val="en-US"/>
        </w:rPr>
        <w:t>the contact persons</w:t>
      </w:r>
      <w:r w:rsidR="00C87E6D" w:rsidRPr="0068260A">
        <w:rPr>
          <w:lang w:val="en-US"/>
        </w:rPr>
        <w:t xml:space="preserve"> bellow</w:t>
      </w:r>
      <w:r w:rsidRPr="0068260A">
        <w:rPr>
          <w:lang w:val="en-US"/>
        </w:rPr>
        <w:t xml:space="preserve">, made 24 hours prior to the date of inspection and in compliance with the </w:t>
      </w:r>
      <w:r w:rsidR="00C54530" w:rsidRPr="0068260A">
        <w:rPr>
          <w:lang w:val="en-US"/>
        </w:rPr>
        <w:t xml:space="preserve">applicable </w:t>
      </w:r>
      <w:r w:rsidRPr="0068260A">
        <w:rPr>
          <w:lang w:val="en-US"/>
        </w:rPr>
        <w:t xml:space="preserve">safety rules. </w:t>
      </w:r>
    </w:p>
    <w:p w:rsidR="002C10EF" w:rsidRPr="0068260A" w:rsidRDefault="002C10EF" w:rsidP="00565B3F">
      <w:pPr>
        <w:rPr>
          <w:lang w:val="en-US"/>
        </w:rPr>
      </w:pPr>
      <w:r w:rsidRPr="0068260A">
        <w:rPr>
          <w:lang w:val="en-US"/>
        </w:rPr>
        <w:t xml:space="preserve">Application for participation in the auction will be accepted at the </w:t>
      </w:r>
      <w:r w:rsidR="00353F43" w:rsidRPr="0068260A">
        <w:rPr>
          <w:lang w:val="en-US"/>
        </w:rPr>
        <w:t>Registry Department</w:t>
      </w:r>
      <w:r w:rsidRPr="0068260A">
        <w:rPr>
          <w:lang w:val="en-US"/>
        </w:rPr>
        <w:t xml:space="preserve"> at Bulgarian Development Bank </w:t>
      </w:r>
      <w:r w:rsidR="00C54530" w:rsidRPr="0068260A">
        <w:rPr>
          <w:lang w:val="en-US"/>
        </w:rPr>
        <w:t xml:space="preserve">AD </w:t>
      </w:r>
      <w:r w:rsidRPr="0068260A">
        <w:rPr>
          <w:lang w:val="en-US"/>
        </w:rPr>
        <w:t xml:space="preserve">at </w:t>
      </w:r>
      <w:r w:rsidR="004D4DEC" w:rsidRPr="0068260A">
        <w:rPr>
          <w:lang w:val="en-US"/>
        </w:rPr>
        <w:t xml:space="preserve">1 </w:t>
      </w:r>
      <w:proofErr w:type="spellStart"/>
      <w:r w:rsidR="004D4DEC" w:rsidRPr="0068260A">
        <w:rPr>
          <w:lang w:val="en-US"/>
        </w:rPr>
        <w:t>Dyakon</w:t>
      </w:r>
      <w:proofErr w:type="spellEnd"/>
      <w:r w:rsidR="004D4DEC" w:rsidRPr="0068260A">
        <w:rPr>
          <w:lang w:val="en-US"/>
        </w:rPr>
        <w:t xml:space="preserve"> </w:t>
      </w:r>
      <w:proofErr w:type="spellStart"/>
      <w:r w:rsidR="004D4DEC" w:rsidRPr="0068260A">
        <w:rPr>
          <w:lang w:val="en-US"/>
        </w:rPr>
        <w:t>Ignatiy</w:t>
      </w:r>
      <w:proofErr w:type="spellEnd"/>
      <w:r w:rsidR="004D4DEC" w:rsidRPr="0068260A">
        <w:rPr>
          <w:lang w:val="en-US"/>
        </w:rPr>
        <w:t xml:space="preserve"> </w:t>
      </w:r>
      <w:proofErr w:type="spellStart"/>
      <w:r w:rsidR="004D4DEC" w:rsidRPr="0068260A">
        <w:rPr>
          <w:lang w:val="en-US"/>
        </w:rPr>
        <w:t>Str</w:t>
      </w:r>
      <w:proofErr w:type="spellEnd"/>
      <w:r w:rsidR="004D4DEC" w:rsidRPr="0068260A">
        <w:rPr>
          <w:lang w:val="en-US"/>
        </w:rPr>
        <w:t>, Sofia 1000, Bulgaria</w:t>
      </w:r>
      <w:r w:rsidRPr="0068260A">
        <w:rPr>
          <w:lang w:val="en-US"/>
        </w:rPr>
        <w:t xml:space="preserve">. </w:t>
      </w:r>
    </w:p>
    <w:p w:rsidR="00710D44" w:rsidRPr="0068260A" w:rsidRDefault="00710D44" w:rsidP="00565B3F">
      <w:pPr>
        <w:rPr>
          <w:b/>
          <w:lang w:val="en-US"/>
        </w:rPr>
      </w:pPr>
      <w:r w:rsidRPr="0068260A">
        <w:rPr>
          <w:b/>
          <w:lang w:val="en-US"/>
        </w:rPr>
        <w:t>Only</w:t>
      </w:r>
      <w:r w:rsidR="00C87E6D" w:rsidRPr="0068260A">
        <w:rPr>
          <w:b/>
          <w:lang w:val="en-US"/>
        </w:rPr>
        <w:t xml:space="preserve"> application received at</w:t>
      </w:r>
      <w:r w:rsidRPr="0068260A">
        <w:rPr>
          <w:b/>
          <w:lang w:val="en-US"/>
        </w:rPr>
        <w:t xml:space="preserve"> the </w:t>
      </w:r>
      <w:r w:rsidR="00353F43" w:rsidRPr="0068260A">
        <w:rPr>
          <w:b/>
          <w:lang w:val="en-US"/>
        </w:rPr>
        <w:t>Registry Department</w:t>
      </w:r>
      <w:r w:rsidRPr="0068260A">
        <w:rPr>
          <w:b/>
          <w:lang w:val="en-US"/>
        </w:rPr>
        <w:t xml:space="preserve"> of Bulgarian Development Bank before 16:00 on </w:t>
      </w:r>
      <w:r w:rsidR="00B124A0" w:rsidRPr="0068260A">
        <w:rPr>
          <w:szCs w:val="24"/>
          <w:lang w:val="en-US"/>
        </w:rPr>
        <w:t>06.10.2017</w:t>
      </w:r>
      <w:r w:rsidR="00B124A0" w:rsidRPr="0068260A">
        <w:rPr>
          <w:szCs w:val="24"/>
        </w:rPr>
        <w:t xml:space="preserve"> </w:t>
      </w:r>
      <w:r w:rsidRPr="0068260A">
        <w:rPr>
          <w:b/>
          <w:lang w:val="en-US"/>
        </w:rPr>
        <w:t xml:space="preserve">will be eligible for participation. </w:t>
      </w:r>
    </w:p>
    <w:p w:rsidR="00710D44" w:rsidRPr="0068260A" w:rsidRDefault="00710D44" w:rsidP="00710D44">
      <w:pPr>
        <w:rPr>
          <w:lang w:val="en-US"/>
        </w:rPr>
      </w:pPr>
      <w:r w:rsidRPr="0068260A">
        <w:rPr>
          <w:lang w:val="en-US"/>
        </w:rPr>
        <w:t xml:space="preserve">Received proposals for participation in the auction shall be opened and considered by a specially appointed Commission, on </w:t>
      </w:r>
      <w:r w:rsidR="00B124A0" w:rsidRPr="0068260A">
        <w:rPr>
          <w:szCs w:val="24"/>
          <w:lang w:val="en-US"/>
        </w:rPr>
        <w:t>09</w:t>
      </w:r>
      <w:r w:rsidR="00B124A0" w:rsidRPr="0068260A">
        <w:rPr>
          <w:szCs w:val="24"/>
        </w:rPr>
        <w:t>.</w:t>
      </w:r>
      <w:r w:rsidR="00B124A0" w:rsidRPr="0068260A">
        <w:rPr>
          <w:szCs w:val="24"/>
          <w:lang w:val="en-US"/>
        </w:rPr>
        <w:t>10</w:t>
      </w:r>
      <w:r w:rsidR="00B124A0" w:rsidRPr="0068260A">
        <w:rPr>
          <w:szCs w:val="24"/>
        </w:rPr>
        <w:t>.2017</w:t>
      </w:r>
      <w:r w:rsidR="00B124A0" w:rsidRPr="0068260A">
        <w:rPr>
          <w:szCs w:val="24"/>
          <w:lang w:val="en-US"/>
        </w:rPr>
        <w:t xml:space="preserve"> </w:t>
      </w:r>
      <w:r w:rsidR="009F0AA4" w:rsidRPr="0068260A">
        <w:rPr>
          <w:lang w:val="en-US"/>
        </w:rPr>
        <w:t>at BDB</w:t>
      </w:r>
      <w:r w:rsidR="004D4DEC" w:rsidRPr="0068260A">
        <w:rPr>
          <w:lang w:val="en-US"/>
        </w:rPr>
        <w:t>’s</w:t>
      </w:r>
      <w:r w:rsidRPr="0068260A">
        <w:rPr>
          <w:lang w:val="en-US"/>
        </w:rPr>
        <w:t xml:space="preserve"> </w:t>
      </w:r>
      <w:r w:rsidR="004D4DEC" w:rsidRPr="0068260A">
        <w:rPr>
          <w:lang w:val="en-US"/>
        </w:rPr>
        <w:t>building</w:t>
      </w:r>
      <w:r w:rsidRPr="0068260A">
        <w:rPr>
          <w:lang w:val="en-US"/>
        </w:rPr>
        <w:t xml:space="preserve"> </w:t>
      </w:r>
      <w:r w:rsidR="004D4DEC" w:rsidRPr="0068260A">
        <w:rPr>
          <w:lang w:val="en-US"/>
        </w:rPr>
        <w:t xml:space="preserve">at 1 </w:t>
      </w:r>
      <w:proofErr w:type="spellStart"/>
      <w:r w:rsidR="004D4DEC" w:rsidRPr="0068260A">
        <w:rPr>
          <w:lang w:val="en-US"/>
        </w:rPr>
        <w:t>Dyakon</w:t>
      </w:r>
      <w:proofErr w:type="spellEnd"/>
      <w:r w:rsidR="004D4DEC" w:rsidRPr="0068260A">
        <w:rPr>
          <w:lang w:val="en-US"/>
        </w:rPr>
        <w:t xml:space="preserve"> </w:t>
      </w:r>
      <w:proofErr w:type="spellStart"/>
      <w:r w:rsidR="004D4DEC" w:rsidRPr="0068260A">
        <w:rPr>
          <w:lang w:val="en-US"/>
        </w:rPr>
        <w:t>Ignatiy</w:t>
      </w:r>
      <w:proofErr w:type="spellEnd"/>
      <w:r w:rsidR="004D4DEC" w:rsidRPr="0068260A">
        <w:rPr>
          <w:lang w:val="en-US"/>
        </w:rPr>
        <w:t xml:space="preserve"> Str., Sofia 1 000, Bulgaria</w:t>
      </w:r>
      <w:r w:rsidRPr="0068260A">
        <w:rPr>
          <w:lang w:val="en-US"/>
        </w:rPr>
        <w:t>. The opening and consideration of the received applications by the Commission will be performed without the presence of the applicants.</w:t>
      </w:r>
    </w:p>
    <w:p w:rsidR="002C10EF" w:rsidRPr="0068260A" w:rsidRDefault="00710D44" w:rsidP="00565B3F">
      <w:pPr>
        <w:rPr>
          <w:lang w:val="en-US"/>
        </w:rPr>
      </w:pPr>
      <w:r w:rsidRPr="0068260A">
        <w:rPr>
          <w:lang w:val="en-US"/>
        </w:rPr>
        <w:t xml:space="preserve"> </w:t>
      </w:r>
      <w:r w:rsidR="002C10EF" w:rsidRPr="0068260A">
        <w:rPr>
          <w:lang w:val="en-US"/>
        </w:rPr>
        <w:t xml:space="preserve"> </w:t>
      </w:r>
      <w:r w:rsidRPr="0068260A">
        <w:rPr>
          <w:lang w:val="en-US"/>
        </w:rPr>
        <w:t xml:space="preserve">The results of the auction, containing data on participants ranked first and second, shall be announced on </w:t>
      </w:r>
      <w:r w:rsidR="00B124A0" w:rsidRPr="0068260A">
        <w:rPr>
          <w:szCs w:val="24"/>
          <w:lang w:val="en-US"/>
        </w:rPr>
        <w:t>10</w:t>
      </w:r>
      <w:r w:rsidR="00B124A0" w:rsidRPr="0068260A">
        <w:rPr>
          <w:szCs w:val="24"/>
        </w:rPr>
        <w:t>.</w:t>
      </w:r>
      <w:r w:rsidR="00B124A0" w:rsidRPr="0068260A">
        <w:rPr>
          <w:szCs w:val="24"/>
          <w:lang w:val="en-US"/>
        </w:rPr>
        <w:t>10</w:t>
      </w:r>
      <w:r w:rsidR="00B124A0" w:rsidRPr="0068260A">
        <w:rPr>
          <w:szCs w:val="24"/>
        </w:rPr>
        <w:t>.2017</w:t>
      </w:r>
      <w:r w:rsidR="00B124A0" w:rsidRPr="0068260A">
        <w:rPr>
          <w:szCs w:val="24"/>
          <w:lang w:val="en-US"/>
        </w:rPr>
        <w:t xml:space="preserve"> </w:t>
      </w:r>
      <w:r w:rsidRPr="0068260A">
        <w:rPr>
          <w:lang w:val="en-US"/>
        </w:rPr>
        <w:t>on the websites of</w:t>
      </w:r>
      <w:r w:rsidR="00C87E6D" w:rsidRPr="0068260A">
        <w:rPr>
          <w:lang w:val="en-US"/>
        </w:rPr>
        <w:t xml:space="preserve"> </w:t>
      </w:r>
      <w:r w:rsidRPr="0068260A">
        <w:rPr>
          <w:lang w:val="en-US"/>
        </w:rPr>
        <w:t>"Bulgarian Development Bank" (</w:t>
      </w:r>
      <w:hyperlink r:id="rId5" w:history="1">
        <w:r w:rsidRPr="0068260A">
          <w:rPr>
            <w:lang w:val="en-US"/>
          </w:rPr>
          <w:t>www.bbr.bg</w:t>
        </w:r>
      </w:hyperlink>
      <w:r w:rsidRPr="0068260A">
        <w:rPr>
          <w:lang w:val="en-US"/>
        </w:rPr>
        <w:t>) and "Holding BDZ" EAD (</w:t>
      </w:r>
      <w:hyperlink r:id="rId6" w:history="1">
        <w:r w:rsidRPr="0068260A">
          <w:rPr>
            <w:lang w:val="en-US"/>
          </w:rPr>
          <w:t>www.bdz.bg</w:t>
        </w:r>
      </w:hyperlink>
      <w:r w:rsidRPr="0068260A">
        <w:rPr>
          <w:lang w:val="en-US"/>
        </w:rPr>
        <w:t xml:space="preserve">). Bidders will not receive personal notification of the results, but have to keep track of such results on the websites referred to in the preceding sentence. If the participant ranked first and designated as the winning bidder does not sign a contract within the period specified </w:t>
      </w:r>
      <w:r w:rsidR="00E60DD8" w:rsidRPr="0068260A">
        <w:rPr>
          <w:lang w:val="en-US"/>
        </w:rPr>
        <w:t>in the Auction terms</w:t>
      </w:r>
      <w:r w:rsidRPr="0068260A">
        <w:rPr>
          <w:lang w:val="en-US"/>
        </w:rPr>
        <w:t xml:space="preserve">, or does not pay the due price, the second-ranked participant will be designated as the winning bidder. The latter will be announced on </w:t>
      </w:r>
      <w:r w:rsidR="00B124A0" w:rsidRPr="0068260A">
        <w:rPr>
          <w:szCs w:val="24"/>
          <w:lang w:val="en-US"/>
        </w:rPr>
        <w:t xml:space="preserve">17.10.2017 </w:t>
      </w:r>
      <w:r w:rsidRPr="0068260A">
        <w:rPr>
          <w:lang w:val="en-US"/>
        </w:rPr>
        <w:t xml:space="preserve">on the above mentioned websites. </w:t>
      </w:r>
    </w:p>
    <w:p w:rsidR="00710D44" w:rsidRPr="0068260A" w:rsidRDefault="00710D44" w:rsidP="00565B3F">
      <w:pPr>
        <w:rPr>
          <w:lang w:val="en-US"/>
        </w:rPr>
      </w:pPr>
    </w:p>
    <w:p w:rsidR="00710D44" w:rsidRPr="0068260A" w:rsidRDefault="00710D44" w:rsidP="00565B3F">
      <w:pPr>
        <w:rPr>
          <w:lang w:val="en-US"/>
        </w:rPr>
      </w:pPr>
      <w:r w:rsidRPr="0068260A">
        <w:rPr>
          <w:lang w:val="en-US"/>
        </w:rPr>
        <w:t>Information re</w:t>
      </w:r>
      <w:r w:rsidR="00BF4490" w:rsidRPr="0068260A">
        <w:rPr>
          <w:lang w:val="en-US"/>
        </w:rPr>
        <w:t>lated to the auction, as well as</w:t>
      </w:r>
      <w:r w:rsidRPr="0068260A">
        <w:rPr>
          <w:lang w:val="en-US"/>
        </w:rPr>
        <w:t xml:space="preserve"> notification for inspection of the pledged assets can be received at: </w:t>
      </w:r>
    </w:p>
    <w:p w:rsidR="00710D44" w:rsidRPr="0068260A" w:rsidRDefault="004D4DEC" w:rsidP="00565B3F">
      <w:pPr>
        <w:rPr>
          <w:lang w:val="en-US"/>
        </w:rPr>
      </w:pPr>
      <w:r w:rsidRPr="0068260A">
        <w:rPr>
          <w:lang w:val="en-US"/>
        </w:rPr>
        <w:lastRenderedPageBreak/>
        <w:t xml:space="preserve">1 </w:t>
      </w:r>
      <w:proofErr w:type="spellStart"/>
      <w:r w:rsidRPr="0068260A">
        <w:rPr>
          <w:lang w:val="en-US"/>
        </w:rPr>
        <w:t>Dyakon</w:t>
      </w:r>
      <w:proofErr w:type="spellEnd"/>
      <w:r w:rsidRPr="0068260A">
        <w:rPr>
          <w:lang w:val="en-US"/>
        </w:rPr>
        <w:t xml:space="preserve"> </w:t>
      </w:r>
      <w:proofErr w:type="spellStart"/>
      <w:r w:rsidRPr="0068260A">
        <w:rPr>
          <w:lang w:val="en-US"/>
        </w:rPr>
        <w:t>Ignatiy</w:t>
      </w:r>
      <w:proofErr w:type="spellEnd"/>
      <w:r w:rsidRPr="0068260A">
        <w:rPr>
          <w:lang w:val="en-US"/>
        </w:rPr>
        <w:t xml:space="preserve"> Str.</w:t>
      </w:r>
      <w:r w:rsidR="00710D44" w:rsidRPr="0068260A">
        <w:rPr>
          <w:lang w:val="en-US"/>
        </w:rPr>
        <w:t xml:space="preserve">, Sofia 1000, Bulgaria </w:t>
      </w:r>
    </w:p>
    <w:p w:rsidR="00710D44" w:rsidRPr="0068260A" w:rsidRDefault="00710D44" w:rsidP="00565B3F">
      <w:pPr>
        <w:rPr>
          <w:lang w:val="en-US"/>
        </w:rPr>
      </w:pPr>
      <w:r w:rsidRPr="0068260A">
        <w:rPr>
          <w:lang w:val="en-US"/>
        </w:rPr>
        <w:t>Contact persons: Dimitar Babanski, +</w:t>
      </w:r>
      <w:r w:rsidR="00C54530" w:rsidRPr="0068260A">
        <w:rPr>
          <w:lang w:val="en-US"/>
        </w:rPr>
        <w:t>35929306302</w:t>
      </w:r>
      <w:r w:rsidRPr="0068260A">
        <w:rPr>
          <w:lang w:val="en-US"/>
        </w:rPr>
        <w:t xml:space="preserve">, </w:t>
      </w:r>
      <w:hyperlink r:id="rId7" w:history="1">
        <w:r w:rsidRPr="0068260A">
          <w:rPr>
            <w:rStyle w:val="Hyperlink"/>
            <w:lang w:val="en-US"/>
          </w:rPr>
          <w:t>babanski.d@bdbank.bg</w:t>
        </w:r>
      </w:hyperlink>
      <w:r w:rsidRPr="0068260A">
        <w:rPr>
          <w:lang w:val="en-US"/>
        </w:rPr>
        <w:t xml:space="preserve"> </w:t>
      </w:r>
    </w:p>
    <w:p w:rsidR="00353F43" w:rsidRPr="0068260A" w:rsidRDefault="00710D44" w:rsidP="00A70160">
      <w:pPr>
        <w:pStyle w:val="FR1"/>
        <w:tabs>
          <w:tab w:val="left" w:pos="720"/>
          <w:tab w:val="left" w:pos="1080"/>
        </w:tabs>
        <w:spacing w:before="120" w:after="120"/>
        <w:ind w:left="360"/>
        <w:jc w:val="both"/>
        <w:rPr>
          <w:rFonts w:ascii="Arial Narrow" w:hAnsi="Arial Narrow" w:cs="Arial"/>
          <w:b w:val="0"/>
          <w:sz w:val="24"/>
          <w:szCs w:val="24"/>
          <w:lang w:val="en-US"/>
        </w:rPr>
      </w:pPr>
      <w:r w:rsidRPr="0068260A">
        <w:rPr>
          <w:lang w:val="en-US"/>
        </w:rPr>
        <w:br/>
      </w:r>
      <w:r w:rsidR="00353F43" w:rsidRPr="0068260A">
        <w:rPr>
          <w:rFonts w:ascii="Arial Narrow" w:hAnsi="Arial Narrow" w:cs="Arial"/>
          <w:b w:val="0"/>
          <w:sz w:val="24"/>
          <w:szCs w:val="24"/>
          <w:lang w:val="en-US"/>
        </w:rPr>
        <w:t>Documents:</w:t>
      </w:r>
    </w:p>
    <w:p w:rsidR="00353F43" w:rsidRPr="0068260A" w:rsidRDefault="00353F43" w:rsidP="00A70160">
      <w:pPr>
        <w:pStyle w:val="FR1"/>
        <w:tabs>
          <w:tab w:val="left" w:pos="720"/>
          <w:tab w:val="left" w:pos="1080"/>
        </w:tabs>
        <w:spacing w:before="120" w:after="120"/>
        <w:ind w:left="360"/>
        <w:jc w:val="both"/>
        <w:rPr>
          <w:rFonts w:ascii="Arial Narrow" w:hAnsi="Arial Narrow" w:cs="Arial"/>
          <w:b w:val="0"/>
          <w:sz w:val="24"/>
          <w:szCs w:val="24"/>
          <w:lang w:val="en-US"/>
        </w:rPr>
      </w:pPr>
    </w:p>
    <w:p w:rsidR="00A70160" w:rsidRPr="0068260A" w:rsidRDefault="00A70160" w:rsidP="00A70160">
      <w:pPr>
        <w:pStyle w:val="FR1"/>
        <w:tabs>
          <w:tab w:val="left" w:pos="720"/>
          <w:tab w:val="left" w:pos="1080"/>
        </w:tabs>
        <w:spacing w:before="120" w:after="120"/>
        <w:ind w:left="360"/>
        <w:jc w:val="both"/>
        <w:rPr>
          <w:rFonts w:ascii="Arial Narrow" w:hAnsi="Arial Narrow" w:cs="Arial"/>
          <w:b w:val="0"/>
          <w:sz w:val="24"/>
          <w:szCs w:val="24"/>
          <w:lang w:val="en-US"/>
        </w:rPr>
      </w:pPr>
      <w:r w:rsidRPr="0068260A">
        <w:rPr>
          <w:rFonts w:ascii="Arial Narrow" w:hAnsi="Arial Narrow" w:cs="Arial"/>
          <w:b w:val="0"/>
          <w:sz w:val="24"/>
          <w:szCs w:val="24"/>
          <w:lang w:val="en-US"/>
        </w:rPr>
        <w:t xml:space="preserve">Rules </w:t>
      </w:r>
      <w:r w:rsidR="00AA7331" w:rsidRPr="0068260A">
        <w:rPr>
          <w:rFonts w:ascii="Arial Narrow" w:hAnsi="Arial Narrow" w:cs="Arial"/>
          <w:b w:val="0"/>
          <w:sz w:val="24"/>
          <w:szCs w:val="24"/>
          <w:lang w:val="en-US"/>
        </w:rPr>
        <w:t xml:space="preserve">of auction for </w:t>
      </w:r>
      <w:r w:rsidRPr="0068260A">
        <w:rPr>
          <w:rFonts w:ascii="Arial Narrow" w:hAnsi="Arial Narrow" w:cs="Arial"/>
          <w:b w:val="0"/>
          <w:sz w:val="24"/>
          <w:szCs w:val="24"/>
          <w:lang w:val="en-US"/>
        </w:rPr>
        <w:t xml:space="preserve">sale of property, pledged under the procedure of the Registered Pledges Act – in Bulgarian </w:t>
      </w:r>
    </w:p>
    <w:p w:rsidR="00A70160" w:rsidRPr="0068260A" w:rsidRDefault="00A70160" w:rsidP="00A70160">
      <w:pPr>
        <w:pStyle w:val="FR1"/>
        <w:tabs>
          <w:tab w:val="left" w:pos="720"/>
          <w:tab w:val="left" w:pos="1080"/>
        </w:tabs>
        <w:spacing w:before="120" w:after="120"/>
        <w:ind w:left="360"/>
        <w:jc w:val="both"/>
        <w:rPr>
          <w:rFonts w:ascii="Arial Narrow" w:hAnsi="Arial Narrow" w:cs="Arial"/>
          <w:b w:val="0"/>
          <w:sz w:val="24"/>
          <w:szCs w:val="24"/>
          <w:lang w:val="en-US"/>
        </w:rPr>
      </w:pPr>
      <w:r w:rsidRPr="0068260A">
        <w:rPr>
          <w:rFonts w:ascii="Arial Narrow" w:hAnsi="Arial Narrow" w:cs="Arial"/>
          <w:b w:val="0"/>
          <w:sz w:val="24"/>
          <w:szCs w:val="24"/>
          <w:lang w:val="en-US"/>
        </w:rPr>
        <w:t xml:space="preserve">Rules </w:t>
      </w:r>
      <w:r w:rsidR="00AA7331" w:rsidRPr="0068260A">
        <w:rPr>
          <w:rFonts w:ascii="Arial Narrow" w:hAnsi="Arial Narrow" w:cs="Arial"/>
          <w:b w:val="0"/>
          <w:sz w:val="24"/>
          <w:szCs w:val="24"/>
          <w:lang w:val="en-US"/>
        </w:rPr>
        <w:t xml:space="preserve">of auction </w:t>
      </w:r>
      <w:r w:rsidRPr="0068260A">
        <w:rPr>
          <w:rFonts w:ascii="Arial Narrow" w:hAnsi="Arial Narrow" w:cs="Arial"/>
          <w:b w:val="0"/>
          <w:sz w:val="24"/>
          <w:szCs w:val="24"/>
          <w:lang w:val="en-US"/>
        </w:rPr>
        <w:t>for sale of property, pledged under the procedure of the Registered Pledges Act – in English</w:t>
      </w:r>
    </w:p>
    <w:p w:rsidR="00A70160" w:rsidRPr="0068260A" w:rsidRDefault="00A70160" w:rsidP="00A70160">
      <w:pPr>
        <w:pStyle w:val="FR1"/>
        <w:tabs>
          <w:tab w:val="left" w:pos="720"/>
          <w:tab w:val="left" w:pos="1080"/>
        </w:tabs>
        <w:spacing w:before="120" w:after="120"/>
        <w:ind w:left="360"/>
        <w:jc w:val="both"/>
        <w:rPr>
          <w:rFonts w:ascii="Arial Narrow" w:hAnsi="Arial Narrow" w:cs="Arial"/>
          <w:b w:val="0"/>
          <w:sz w:val="24"/>
          <w:szCs w:val="24"/>
          <w:lang w:val="en-US"/>
        </w:rPr>
      </w:pPr>
      <w:r w:rsidRPr="0068260A">
        <w:rPr>
          <w:rFonts w:ascii="Arial Narrow" w:hAnsi="Arial Narrow" w:cs="Arial"/>
          <w:b w:val="0"/>
          <w:sz w:val="24"/>
          <w:szCs w:val="24"/>
          <w:lang w:val="en-US"/>
        </w:rPr>
        <w:t xml:space="preserve">Appendix 1 A list of </w:t>
      </w:r>
      <w:r w:rsidR="00702EFA" w:rsidRPr="0068260A">
        <w:rPr>
          <w:rFonts w:ascii="Arial Narrow" w:hAnsi="Arial Narrow" w:cs="Arial"/>
          <w:b w:val="0"/>
          <w:sz w:val="24"/>
          <w:szCs w:val="24"/>
          <w:lang w:val="en-US"/>
        </w:rPr>
        <w:t xml:space="preserve">1 </w:t>
      </w:r>
      <w:r w:rsidR="00B124A0" w:rsidRPr="0068260A">
        <w:rPr>
          <w:rFonts w:ascii="Arial Narrow" w:hAnsi="Arial Narrow" w:cs="Arial"/>
          <w:b w:val="0"/>
          <w:sz w:val="24"/>
          <w:szCs w:val="24"/>
        </w:rPr>
        <w:t>685</w:t>
      </w:r>
      <w:r w:rsidRPr="0068260A">
        <w:rPr>
          <w:rFonts w:ascii="Arial Narrow" w:hAnsi="Arial Narrow" w:cs="Arial"/>
          <w:b w:val="0"/>
          <w:sz w:val="24"/>
          <w:szCs w:val="24"/>
        </w:rPr>
        <w:t xml:space="preserve"> </w:t>
      </w:r>
      <w:r w:rsidRPr="0068260A">
        <w:rPr>
          <w:rFonts w:ascii="Arial Narrow" w:hAnsi="Arial Narrow" w:cs="Arial"/>
          <w:b w:val="0"/>
          <w:sz w:val="24"/>
          <w:szCs w:val="24"/>
          <w:lang w:val="en-US"/>
        </w:rPr>
        <w:t xml:space="preserve">goods </w:t>
      </w:r>
      <w:proofErr w:type="spellStart"/>
      <w:r w:rsidRPr="0068260A">
        <w:rPr>
          <w:rFonts w:ascii="Arial Narrow" w:hAnsi="Arial Narrow" w:cs="Arial"/>
          <w:b w:val="0"/>
          <w:sz w:val="24"/>
          <w:szCs w:val="24"/>
        </w:rPr>
        <w:t>wagons</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divided</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into</w:t>
      </w:r>
      <w:proofErr w:type="spellEnd"/>
      <w:r w:rsidRPr="0068260A">
        <w:rPr>
          <w:rFonts w:ascii="Arial Narrow" w:hAnsi="Arial Narrow" w:cs="Arial"/>
          <w:b w:val="0"/>
          <w:sz w:val="24"/>
          <w:szCs w:val="24"/>
        </w:rPr>
        <w:t xml:space="preserve"> </w:t>
      </w:r>
      <w:r w:rsidR="00702EFA" w:rsidRPr="0068260A">
        <w:rPr>
          <w:rFonts w:ascii="Arial Narrow" w:hAnsi="Arial Narrow" w:cs="Arial"/>
          <w:b w:val="0"/>
          <w:sz w:val="24"/>
          <w:szCs w:val="24"/>
          <w:lang w:val="en-US"/>
        </w:rPr>
        <w:t xml:space="preserve">1 </w:t>
      </w:r>
      <w:r w:rsidR="00B124A0" w:rsidRPr="0068260A">
        <w:rPr>
          <w:rFonts w:ascii="Arial Narrow" w:hAnsi="Arial Narrow" w:cs="Arial"/>
          <w:b w:val="0"/>
          <w:sz w:val="24"/>
          <w:szCs w:val="24"/>
        </w:rPr>
        <w:t>685</w:t>
      </w:r>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lots</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owned</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by</w:t>
      </w:r>
      <w:proofErr w:type="spellEnd"/>
      <w:r w:rsidRPr="0068260A">
        <w:rPr>
          <w:rFonts w:ascii="Arial Narrow" w:hAnsi="Arial Narrow" w:cs="Arial"/>
          <w:b w:val="0"/>
          <w:sz w:val="24"/>
          <w:szCs w:val="24"/>
        </w:rPr>
        <w:t xml:space="preserve"> </w:t>
      </w:r>
      <w:r w:rsidRPr="0068260A">
        <w:rPr>
          <w:rFonts w:ascii="Arial Narrow" w:hAnsi="Arial Narrow" w:cs="Arial"/>
          <w:b w:val="0"/>
          <w:sz w:val="24"/>
          <w:szCs w:val="24"/>
          <w:lang w:val="en-US"/>
        </w:rPr>
        <w:t xml:space="preserve">“Holding </w:t>
      </w:r>
      <w:r w:rsidRPr="0068260A">
        <w:rPr>
          <w:rFonts w:ascii="Arial Narrow" w:hAnsi="Arial Narrow" w:cs="Arial"/>
          <w:b w:val="0"/>
          <w:sz w:val="24"/>
          <w:szCs w:val="24"/>
        </w:rPr>
        <w:t>BDZ</w:t>
      </w:r>
      <w:r w:rsidRPr="0068260A">
        <w:rPr>
          <w:rFonts w:ascii="Arial Narrow" w:hAnsi="Arial Narrow" w:cs="Arial"/>
          <w:b w:val="0"/>
          <w:sz w:val="24"/>
          <w:szCs w:val="24"/>
          <w:lang w:val="en-US"/>
        </w:rPr>
        <w:t>” EAD</w:t>
      </w:r>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pledged</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under</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the</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Law</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on</w:t>
      </w:r>
      <w:proofErr w:type="spellEnd"/>
      <w:r w:rsidRPr="0068260A">
        <w:rPr>
          <w:rFonts w:ascii="Arial Narrow" w:hAnsi="Arial Narrow" w:cs="Arial"/>
          <w:b w:val="0"/>
          <w:sz w:val="24"/>
          <w:szCs w:val="24"/>
        </w:rPr>
        <w:t xml:space="preserve"> </w:t>
      </w:r>
      <w:r w:rsidRPr="0068260A">
        <w:rPr>
          <w:rFonts w:ascii="Arial Narrow" w:hAnsi="Arial Narrow" w:cs="Arial"/>
          <w:b w:val="0"/>
          <w:sz w:val="24"/>
          <w:szCs w:val="24"/>
          <w:lang w:val="en-US"/>
        </w:rPr>
        <w:t xml:space="preserve">Registered </w:t>
      </w:r>
      <w:proofErr w:type="spellStart"/>
      <w:r w:rsidRPr="0068260A">
        <w:rPr>
          <w:rFonts w:ascii="Arial Narrow" w:hAnsi="Arial Narrow" w:cs="Arial"/>
          <w:b w:val="0"/>
          <w:sz w:val="24"/>
          <w:szCs w:val="24"/>
        </w:rPr>
        <w:t>Pledges</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in</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favor</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of</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Bulgarian</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Development</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Bank</w:t>
      </w:r>
      <w:proofErr w:type="spellEnd"/>
      <w:r w:rsidRPr="0068260A">
        <w:rPr>
          <w:rFonts w:ascii="Arial Narrow" w:hAnsi="Arial Narrow" w:cs="Arial"/>
          <w:b w:val="0"/>
          <w:sz w:val="24"/>
          <w:szCs w:val="24"/>
        </w:rPr>
        <w:t xml:space="preserve">" AD </w:t>
      </w:r>
      <w:proofErr w:type="spellStart"/>
      <w:r w:rsidRPr="0068260A">
        <w:rPr>
          <w:rFonts w:ascii="Arial Narrow" w:hAnsi="Arial Narrow" w:cs="Arial"/>
          <w:b w:val="0"/>
          <w:sz w:val="24"/>
          <w:szCs w:val="24"/>
        </w:rPr>
        <w:t>to</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which</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the</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execution</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was</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started</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by</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entry</w:t>
      </w:r>
      <w:proofErr w:type="spellEnd"/>
      <w:r w:rsidRPr="0068260A">
        <w:rPr>
          <w:rFonts w:ascii="Arial Narrow" w:hAnsi="Arial Narrow" w:cs="Arial"/>
          <w:b w:val="0"/>
          <w:sz w:val="24"/>
          <w:szCs w:val="24"/>
        </w:rPr>
        <w:t xml:space="preserve"> No.</w:t>
      </w:r>
      <w:r w:rsidR="003B75F7" w:rsidRPr="0068260A">
        <w:rPr>
          <w:rFonts w:ascii="Arial Narrow" w:hAnsi="Arial Narrow" w:cs="Arial"/>
          <w:b w:val="0"/>
          <w:sz w:val="24"/>
          <w:szCs w:val="24"/>
        </w:rPr>
        <w:t xml:space="preserve">2016092800780 </w:t>
      </w:r>
      <w:proofErr w:type="spellStart"/>
      <w:r w:rsidRPr="0068260A">
        <w:rPr>
          <w:rFonts w:ascii="Arial Narrow" w:hAnsi="Arial Narrow" w:cs="Arial"/>
          <w:b w:val="0"/>
          <w:sz w:val="24"/>
          <w:szCs w:val="24"/>
        </w:rPr>
        <w:t>at</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the</w:t>
      </w:r>
      <w:proofErr w:type="spellEnd"/>
      <w:r w:rsidRPr="0068260A">
        <w:rPr>
          <w:rFonts w:ascii="Arial Narrow" w:hAnsi="Arial Narrow" w:cs="Arial"/>
          <w:b w:val="0"/>
          <w:sz w:val="24"/>
          <w:szCs w:val="24"/>
        </w:rPr>
        <w:t xml:space="preserve"> Central </w:t>
      </w:r>
      <w:proofErr w:type="spellStart"/>
      <w:r w:rsidRPr="0068260A">
        <w:rPr>
          <w:rFonts w:ascii="Arial Narrow" w:hAnsi="Arial Narrow" w:cs="Arial"/>
          <w:b w:val="0"/>
          <w:sz w:val="24"/>
          <w:szCs w:val="24"/>
        </w:rPr>
        <w:t>Pledge</w:t>
      </w:r>
      <w:proofErr w:type="spellEnd"/>
      <w:r w:rsidRPr="0068260A">
        <w:rPr>
          <w:rFonts w:ascii="Arial Narrow" w:hAnsi="Arial Narrow" w:cs="Arial"/>
          <w:b w:val="0"/>
          <w:sz w:val="24"/>
          <w:szCs w:val="24"/>
        </w:rPr>
        <w:t xml:space="preserve"> </w:t>
      </w:r>
      <w:proofErr w:type="spellStart"/>
      <w:r w:rsidRPr="0068260A">
        <w:rPr>
          <w:rFonts w:ascii="Arial Narrow" w:hAnsi="Arial Narrow" w:cs="Arial"/>
          <w:b w:val="0"/>
          <w:sz w:val="24"/>
          <w:szCs w:val="24"/>
        </w:rPr>
        <w:t>Registry</w:t>
      </w:r>
      <w:proofErr w:type="spellEnd"/>
      <w:r w:rsidRPr="0068260A">
        <w:rPr>
          <w:rFonts w:ascii="Arial Narrow" w:hAnsi="Arial Narrow" w:cs="Arial"/>
          <w:b w:val="0"/>
          <w:sz w:val="24"/>
        </w:rPr>
        <w:t>;</w:t>
      </w:r>
    </w:p>
    <w:p w:rsidR="00A70160" w:rsidRPr="0068260A" w:rsidRDefault="00A70160" w:rsidP="00A70160">
      <w:pPr>
        <w:pStyle w:val="FR1"/>
        <w:tabs>
          <w:tab w:val="left" w:pos="720"/>
          <w:tab w:val="left" w:pos="1080"/>
        </w:tabs>
        <w:spacing w:before="120" w:after="120"/>
        <w:ind w:left="360" w:right="0"/>
        <w:jc w:val="both"/>
        <w:rPr>
          <w:rFonts w:ascii="Arial Narrow" w:hAnsi="Arial Narrow" w:cs="Arial"/>
          <w:b w:val="0"/>
          <w:sz w:val="24"/>
          <w:lang w:val="en-US"/>
        </w:rPr>
      </w:pPr>
      <w:r w:rsidRPr="0068260A">
        <w:rPr>
          <w:rFonts w:ascii="Arial Narrow" w:hAnsi="Arial Narrow" w:cs="Arial"/>
          <w:b w:val="0"/>
          <w:sz w:val="24"/>
          <w:szCs w:val="24"/>
          <w:lang w:val="en-US"/>
        </w:rPr>
        <w:t xml:space="preserve">Appendix 2 </w:t>
      </w:r>
      <w:r w:rsidRPr="0068260A">
        <w:rPr>
          <w:rFonts w:ascii="Arial Narrow" w:hAnsi="Arial Narrow" w:cs="Arial"/>
          <w:b w:val="0"/>
          <w:sz w:val="24"/>
          <w:lang w:val="en-US"/>
        </w:rPr>
        <w:t>Declaration for participation in the auction</w:t>
      </w:r>
      <w:r w:rsidRPr="0068260A">
        <w:rPr>
          <w:rFonts w:ascii="Arial Narrow" w:hAnsi="Arial Narrow" w:cs="Arial"/>
          <w:b w:val="0"/>
          <w:sz w:val="24"/>
        </w:rPr>
        <w:t>;</w:t>
      </w:r>
      <w:r w:rsidRPr="0068260A">
        <w:rPr>
          <w:rFonts w:ascii="Arial Narrow" w:hAnsi="Arial Narrow" w:cs="Arial"/>
          <w:b w:val="0"/>
          <w:sz w:val="24"/>
          <w:lang w:val="en-US"/>
        </w:rPr>
        <w:t xml:space="preserve"> </w:t>
      </w:r>
    </w:p>
    <w:p w:rsidR="00A70160" w:rsidRPr="0068260A" w:rsidRDefault="00A70160" w:rsidP="00A70160">
      <w:pPr>
        <w:pStyle w:val="FR1"/>
        <w:tabs>
          <w:tab w:val="left" w:pos="720"/>
          <w:tab w:val="left" w:pos="1080"/>
        </w:tabs>
        <w:spacing w:before="120" w:after="120"/>
        <w:ind w:left="360" w:right="0"/>
        <w:jc w:val="both"/>
        <w:rPr>
          <w:rFonts w:ascii="Arial Narrow" w:hAnsi="Arial Narrow" w:cs="Arial"/>
          <w:b w:val="0"/>
          <w:sz w:val="24"/>
          <w:lang w:val="en-US"/>
        </w:rPr>
      </w:pPr>
      <w:r w:rsidRPr="0068260A">
        <w:rPr>
          <w:rFonts w:ascii="Arial Narrow" w:hAnsi="Arial Narrow" w:cs="Arial"/>
          <w:b w:val="0"/>
          <w:sz w:val="24"/>
          <w:szCs w:val="24"/>
          <w:lang w:val="en-US"/>
        </w:rPr>
        <w:t xml:space="preserve">Appendix 2 </w:t>
      </w:r>
      <w:r w:rsidRPr="0068260A">
        <w:rPr>
          <w:rFonts w:ascii="Arial Narrow" w:hAnsi="Arial Narrow" w:cs="Arial"/>
          <w:b w:val="0"/>
          <w:sz w:val="24"/>
          <w:lang w:val="en-US"/>
        </w:rPr>
        <w:t xml:space="preserve">Declaration for participation in the auction – bilingual; </w:t>
      </w:r>
    </w:p>
    <w:p w:rsidR="00A70160" w:rsidRPr="0068260A" w:rsidRDefault="00A70160" w:rsidP="00A70160">
      <w:pPr>
        <w:pStyle w:val="FR1"/>
        <w:tabs>
          <w:tab w:val="left" w:pos="720"/>
          <w:tab w:val="left" w:pos="1080"/>
        </w:tabs>
        <w:spacing w:before="120" w:after="120"/>
        <w:ind w:left="360" w:right="0"/>
        <w:jc w:val="both"/>
        <w:rPr>
          <w:rFonts w:ascii="Arial Narrow" w:hAnsi="Arial Narrow" w:cs="Arial"/>
          <w:b w:val="0"/>
          <w:sz w:val="24"/>
          <w:lang w:val="en-US"/>
        </w:rPr>
      </w:pPr>
      <w:r w:rsidRPr="0068260A">
        <w:rPr>
          <w:rFonts w:ascii="Arial Narrow" w:hAnsi="Arial Narrow" w:cs="Arial"/>
          <w:b w:val="0"/>
          <w:sz w:val="24"/>
          <w:szCs w:val="24"/>
          <w:lang w:val="en-US"/>
        </w:rPr>
        <w:t xml:space="preserve">Appendix 3 </w:t>
      </w:r>
      <w:r w:rsidRPr="0068260A">
        <w:rPr>
          <w:rFonts w:ascii="Arial Narrow" w:hAnsi="Arial Narrow" w:cs="Arial"/>
          <w:b w:val="0"/>
          <w:sz w:val="24"/>
          <w:szCs w:val="24"/>
        </w:rPr>
        <w:t>Application form for return of the deposit for participation in the auction</w:t>
      </w:r>
      <w:r w:rsidRPr="0068260A">
        <w:rPr>
          <w:rFonts w:ascii="Arial Narrow" w:hAnsi="Arial Narrow" w:cs="Arial"/>
          <w:b w:val="0"/>
          <w:sz w:val="24"/>
        </w:rPr>
        <w:t>;</w:t>
      </w:r>
      <w:r w:rsidRPr="0068260A">
        <w:rPr>
          <w:rFonts w:ascii="Arial Narrow" w:hAnsi="Arial Narrow" w:cs="Arial"/>
          <w:b w:val="0"/>
          <w:sz w:val="24"/>
          <w:lang w:val="en-US"/>
        </w:rPr>
        <w:t xml:space="preserve"> </w:t>
      </w:r>
    </w:p>
    <w:p w:rsidR="00A70160" w:rsidRPr="0068260A" w:rsidRDefault="00A70160" w:rsidP="00A70160">
      <w:pPr>
        <w:pStyle w:val="FR1"/>
        <w:tabs>
          <w:tab w:val="left" w:pos="720"/>
          <w:tab w:val="left" w:pos="1080"/>
        </w:tabs>
        <w:spacing w:before="120" w:after="120"/>
        <w:ind w:left="360" w:right="0"/>
        <w:jc w:val="both"/>
        <w:rPr>
          <w:rFonts w:ascii="Arial Narrow" w:hAnsi="Arial Narrow" w:cs="Arial"/>
          <w:b w:val="0"/>
          <w:sz w:val="24"/>
          <w:szCs w:val="24"/>
          <w:lang w:val="en-US"/>
        </w:rPr>
      </w:pPr>
      <w:r w:rsidRPr="0068260A">
        <w:rPr>
          <w:rFonts w:ascii="Arial Narrow" w:hAnsi="Arial Narrow" w:cs="Arial"/>
          <w:b w:val="0"/>
          <w:sz w:val="24"/>
          <w:szCs w:val="24"/>
          <w:lang w:val="en-US"/>
        </w:rPr>
        <w:t xml:space="preserve">Appendix 3 </w:t>
      </w:r>
      <w:r w:rsidRPr="0068260A">
        <w:rPr>
          <w:rFonts w:ascii="Arial Narrow" w:hAnsi="Arial Narrow" w:cs="Arial"/>
          <w:b w:val="0"/>
          <w:sz w:val="24"/>
          <w:szCs w:val="24"/>
        </w:rPr>
        <w:t>Application form for return of the deposit for participation in the auction - bilingual</w:t>
      </w:r>
    </w:p>
    <w:p w:rsidR="00A70160" w:rsidRPr="0068260A" w:rsidRDefault="00A70160" w:rsidP="00A70160">
      <w:pPr>
        <w:pStyle w:val="FR1"/>
        <w:tabs>
          <w:tab w:val="left" w:pos="720"/>
          <w:tab w:val="left" w:pos="1080"/>
        </w:tabs>
        <w:spacing w:before="120" w:after="120"/>
        <w:ind w:left="360" w:right="0"/>
        <w:jc w:val="both"/>
        <w:rPr>
          <w:rFonts w:ascii="Arial Narrow" w:hAnsi="Arial Narrow" w:cs="Arial"/>
          <w:b w:val="0"/>
          <w:sz w:val="24"/>
          <w:szCs w:val="24"/>
        </w:rPr>
      </w:pPr>
      <w:r w:rsidRPr="0068260A">
        <w:rPr>
          <w:rFonts w:ascii="Arial Narrow" w:hAnsi="Arial Narrow" w:cs="Arial"/>
          <w:b w:val="0"/>
          <w:sz w:val="24"/>
          <w:szCs w:val="24"/>
          <w:lang w:val="en-US"/>
        </w:rPr>
        <w:t xml:space="preserve">Appendix 4 </w:t>
      </w:r>
      <w:r w:rsidRPr="0068260A">
        <w:rPr>
          <w:rFonts w:ascii="Arial Narrow" w:hAnsi="Arial Narrow" w:cs="Arial"/>
          <w:b w:val="0"/>
          <w:sz w:val="24"/>
          <w:szCs w:val="24"/>
        </w:rPr>
        <w:t xml:space="preserve">A model calculation of the bid increment of </w:t>
      </w:r>
      <w:r w:rsidRPr="0068260A">
        <w:rPr>
          <w:rFonts w:ascii="Arial Narrow" w:hAnsi="Arial Narrow" w:cs="Arial"/>
          <w:b w:val="0"/>
          <w:sz w:val="24"/>
          <w:szCs w:val="24"/>
          <w:lang w:val="en-US"/>
        </w:rPr>
        <w:t xml:space="preserve">the lots of </w:t>
      </w:r>
      <w:r w:rsidRPr="0068260A">
        <w:rPr>
          <w:rFonts w:ascii="Arial Narrow" w:hAnsi="Arial Narrow" w:cs="Arial"/>
          <w:b w:val="0"/>
          <w:sz w:val="24"/>
          <w:szCs w:val="24"/>
        </w:rPr>
        <w:t xml:space="preserve">wagons offered for sale </w:t>
      </w:r>
      <w:r w:rsidRPr="0068260A">
        <w:rPr>
          <w:rFonts w:ascii="Arial Narrow" w:hAnsi="Arial Narrow" w:cs="Arial"/>
          <w:b w:val="0"/>
          <w:sz w:val="24"/>
          <w:szCs w:val="24"/>
          <w:lang w:val="en-US"/>
        </w:rPr>
        <w:t xml:space="preserve">for </w:t>
      </w:r>
      <w:r w:rsidRPr="0068260A">
        <w:rPr>
          <w:rFonts w:ascii="Arial Narrow" w:hAnsi="Arial Narrow" w:cs="Arial"/>
          <w:b w:val="0"/>
          <w:sz w:val="24"/>
          <w:szCs w:val="24"/>
        </w:rPr>
        <w:t>steps 1,2,3,4</w:t>
      </w:r>
      <w:r w:rsidRPr="0068260A">
        <w:rPr>
          <w:rFonts w:ascii="Arial Narrow" w:hAnsi="Arial Narrow" w:cs="Arial"/>
          <w:b w:val="0"/>
          <w:sz w:val="24"/>
          <w:szCs w:val="24"/>
          <w:lang w:val="en-US"/>
        </w:rPr>
        <w:t>…</w:t>
      </w:r>
      <w:r w:rsidRPr="0068260A">
        <w:rPr>
          <w:rFonts w:ascii="Arial Narrow" w:hAnsi="Arial Narrow" w:cs="Arial"/>
          <w:b w:val="0"/>
          <w:sz w:val="24"/>
        </w:rPr>
        <w:t xml:space="preserve">; </w:t>
      </w:r>
    </w:p>
    <w:p w:rsidR="00A70160" w:rsidRPr="0068260A" w:rsidRDefault="00A70160" w:rsidP="00A70160">
      <w:pPr>
        <w:pStyle w:val="FR1"/>
        <w:tabs>
          <w:tab w:val="left" w:pos="720"/>
          <w:tab w:val="left" w:pos="1080"/>
        </w:tabs>
        <w:spacing w:before="120" w:after="120"/>
        <w:ind w:left="360"/>
        <w:jc w:val="both"/>
        <w:rPr>
          <w:rFonts w:ascii="Arial Narrow" w:hAnsi="Arial Narrow" w:cs="Arial"/>
          <w:sz w:val="24"/>
          <w:szCs w:val="24"/>
        </w:rPr>
      </w:pPr>
      <w:r w:rsidRPr="0068260A">
        <w:rPr>
          <w:rFonts w:ascii="Arial Narrow" w:hAnsi="Arial Narrow" w:cs="Arial"/>
          <w:b w:val="0"/>
          <w:sz w:val="24"/>
          <w:szCs w:val="24"/>
          <w:lang w:val="en-US"/>
        </w:rPr>
        <w:t xml:space="preserve">Appendix 5 Draft sales contract </w:t>
      </w:r>
    </w:p>
    <w:p w:rsidR="00A70160" w:rsidRDefault="00A70160" w:rsidP="00A70160">
      <w:pPr>
        <w:pStyle w:val="FR1"/>
        <w:tabs>
          <w:tab w:val="left" w:pos="720"/>
          <w:tab w:val="left" w:pos="1080"/>
        </w:tabs>
        <w:spacing w:before="120" w:after="120"/>
        <w:ind w:left="360"/>
        <w:jc w:val="both"/>
        <w:rPr>
          <w:rFonts w:ascii="Arial Narrow" w:hAnsi="Arial Narrow" w:cs="Arial"/>
          <w:sz w:val="24"/>
          <w:szCs w:val="24"/>
        </w:rPr>
      </w:pPr>
      <w:r w:rsidRPr="0068260A">
        <w:rPr>
          <w:rFonts w:ascii="Arial Narrow" w:hAnsi="Arial Narrow" w:cs="Arial"/>
          <w:b w:val="0"/>
          <w:sz w:val="24"/>
          <w:szCs w:val="24"/>
          <w:lang w:val="en-US"/>
        </w:rPr>
        <w:t>Appendix 5 Draft sales contract - bilingual</w:t>
      </w:r>
      <w:bookmarkStart w:id="0" w:name="_GoBack"/>
      <w:bookmarkEnd w:id="0"/>
    </w:p>
    <w:p w:rsidR="00710D44" w:rsidRPr="004A7520" w:rsidRDefault="00710D44" w:rsidP="00565B3F">
      <w:pPr>
        <w:rPr>
          <w:lang w:val="en-US"/>
        </w:rPr>
      </w:pPr>
    </w:p>
    <w:sectPr w:rsidR="00710D44" w:rsidRPr="004A7520" w:rsidSect="00BC0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HebarCondensedCYR">
    <w:altName w:val="Times New Roman"/>
    <w:charset w:val="CC"/>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C334F"/>
    <w:multiLevelType w:val="multilevel"/>
    <w:tmpl w:val="829E4E1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440" w:hanging="720"/>
      </w:pPr>
      <w:rPr>
        <w:rFonts w:cs="Times New Roman" w:hint="default"/>
        <w:b/>
      </w:rPr>
    </w:lvl>
    <w:lvl w:ilvl="4">
      <w:start w:val="1"/>
      <w:numFmt w:val="decimal"/>
      <w:isLgl/>
      <w:lvlText w:val="%1.%2.%3.%4.%5"/>
      <w:lvlJc w:val="left"/>
      <w:pPr>
        <w:ind w:left="1800" w:hanging="1080"/>
      </w:pPr>
      <w:rPr>
        <w:rFonts w:cs="Times New Roman" w:hint="default"/>
        <w:b/>
      </w:rPr>
    </w:lvl>
    <w:lvl w:ilvl="5">
      <w:start w:val="1"/>
      <w:numFmt w:val="decimal"/>
      <w:isLgl/>
      <w:lvlText w:val="%1.%2.%3.%4.%5.%6"/>
      <w:lvlJc w:val="left"/>
      <w:pPr>
        <w:ind w:left="1800" w:hanging="1080"/>
      </w:pPr>
      <w:rPr>
        <w:rFonts w:cs="Times New Roman" w:hint="default"/>
        <w:b/>
      </w:rPr>
    </w:lvl>
    <w:lvl w:ilvl="6">
      <w:start w:val="1"/>
      <w:numFmt w:val="decimal"/>
      <w:isLgl/>
      <w:lvlText w:val="%1.%2.%3.%4.%5.%6.%7"/>
      <w:lvlJc w:val="left"/>
      <w:pPr>
        <w:ind w:left="2160" w:hanging="1440"/>
      </w:pPr>
      <w:rPr>
        <w:rFonts w:cs="Times New Roman" w:hint="default"/>
        <w:b/>
      </w:rPr>
    </w:lvl>
    <w:lvl w:ilvl="7">
      <w:start w:val="1"/>
      <w:numFmt w:val="decimal"/>
      <w:isLgl/>
      <w:lvlText w:val="%1.%2.%3.%4.%5.%6.%7.%8"/>
      <w:lvlJc w:val="left"/>
      <w:pPr>
        <w:ind w:left="2160" w:hanging="1440"/>
      </w:pPr>
      <w:rPr>
        <w:rFonts w:cs="Times New Roman" w:hint="default"/>
        <w:b/>
      </w:rPr>
    </w:lvl>
    <w:lvl w:ilvl="8">
      <w:start w:val="1"/>
      <w:numFmt w:val="decimal"/>
      <w:isLgl/>
      <w:lvlText w:val="%1.%2.%3.%4.%5.%6.%7.%8.%9"/>
      <w:lvlJc w:val="left"/>
      <w:pPr>
        <w:ind w:left="2520" w:hanging="1800"/>
      </w:pPr>
      <w:rPr>
        <w:rFonts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A7520"/>
    <w:rsid w:val="000972AC"/>
    <w:rsid w:val="000D501F"/>
    <w:rsid w:val="00125D13"/>
    <w:rsid w:val="001F0BFE"/>
    <w:rsid w:val="002B11B9"/>
    <w:rsid w:val="002C10EF"/>
    <w:rsid w:val="002C4CBA"/>
    <w:rsid w:val="002D28BA"/>
    <w:rsid w:val="00316159"/>
    <w:rsid w:val="00353F43"/>
    <w:rsid w:val="003705A2"/>
    <w:rsid w:val="00373385"/>
    <w:rsid w:val="00374949"/>
    <w:rsid w:val="003B75F7"/>
    <w:rsid w:val="003D432F"/>
    <w:rsid w:val="004034A9"/>
    <w:rsid w:val="004A7520"/>
    <w:rsid w:val="004B3E85"/>
    <w:rsid w:val="004D4DEC"/>
    <w:rsid w:val="00565B3F"/>
    <w:rsid w:val="00594891"/>
    <w:rsid w:val="0068260A"/>
    <w:rsid w:val="006925F1"/>
    <w:rsid w:val="00702EFA"/>
    <w:rsid w:val="00710D44"/>
    <w:rsid w:val="00721C67"/>
    <w:rsid w:val="007D7FB1"/>
    <w:rsid w:val="007E56F7"/>
    <w:rsid w:val="008024AE"/>
    <w:rsid w:val="008A11F2"/>
    <w:rsid w:val="008E04B5"/>
    <w:rsid w:val="00970618"/>
    <w:rsid w:val="009A4EB8"/>
    <w:rsid w:val="009F0AA4"/>
    <w:rsid w:val="009F318C"/>
    <w:rsid w:val="00A12621"/>
    <w:rsid w:val="00A177B2"/>
    <w:rsid w:val="00A70160"/>
    <w:rsid w:val="00AA7331"/>
    <w:rsid w:val="00B11CEF"/>
    <w:rsid w:val="00B124A0"/>
    <w:rsid w:val="00B3340B"/>
    <w:rsid w:val="00B7638F"/>
    <w:rsid w:val="00BC0570"/>
    <w:rsid w:val="00BF4490"/>
    <w:rsid w:val="00C54530"/>
    <w:rsid w:val="00C87E6D"/>
    <w:rsid w:val="00D70111"/>
    <w:rsid w:val="00DD2570"/>
    <w:rsid w:val="00E1592F"/>
    <w:rsid w:val="00E60DD8"/>
    <w:rsid w:val="00F14849"/>
    <w:rsid w:val="00F312A4"/>
    <w:rsid w:val="00F32B02"/>
    <w:rsid w:val="00F728AC"/>
    <w:rsid w:val="00FA4239"/>
    <w:rsid w:val="00FC50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D0D55-D485-43DF-B680-CE06E5DB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2AC"/>
    <w:pPr>
      <w:spacing w:after="120" w:line="240" w:lineRule="auto"/>
      <w:ind w:firstLine="709"/>
      <w:jc w:val="both"/>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B3F"/>
    <w:rPr>
      <w:color w:val="0000FF" w:themeColor="hyperlink"/>
      <w:u w:val="single"/>
    </w:rPr>
  </w:style>
  <w:style w:type="paragraph" w:styleId="List2">
    <w:name w:val="List 2"/>
    <w:basedOn w:val="Normal"/>
    <w:rsid w:val="00710D44"/>
    <w:pPr>
      <w:widowControl w:val="0"/>
      <w:snapToGrid w:val="0"/>
      <w:spacing w:after="0" w:line="300" w:lineRule="auto"/>
      <w:ind w:left="720" w:hanging="360"/>
    </w:pPr>
    <w:rPr>
      <w:rFonts w:ascii="Times New Roman" w:eastAsia="Calibri" w:hAnsi="Times New Roman" w:cs="Times New Roman"/>
      <w:szCs w:val="20"/>
    </w:rPr>
  </w:style>
  <w:style w:type="paragraph" w:styleId="BalloonText">
    <w:name w:val="Balloon Text"/>
    <w:basedOn w:val="Normal"/>
    <w:link w:val="BalloonTextChar"/>
    <w:uiPriority w:val="99"/>
    <w:semiHidden/>
    <w:unhideWhenUsed/>
    <w:rsid w:val="002D28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8BA"/>
    <w:rPr>
      <w:rFonts w:ascii="Tahoma" w:hAnsi="Tahoma" w:cs="Tahoma"/>
      <w:sz w:val="16"/>
      <w:szCs w:val="16"/>
    </w:rPr>
  </w:style>
  <w:style w:type="paragraph" w:customStyle="1" w:styleId="FR1">
    <w:name w:val="FR1"/>
    <w:rsid w:val="00A70160"/>
    <w:pPr>
      <w:widowControl w:val="0"/>
      <w:spacing w:before="320" w:after="0" w:line="240" w:lineRule="auto"/>
      <w:ind w:right="200"/>
      <w:jc w:val="center"/>
    </w:pPr>
    <w:rPr>
      <w:rFonts w:ascii="Courier New" w:eastAsia="Times New Roman" w:hAnsi="Courier New" w:cs="Times New Roman"/>
      <w:b/>
      <w:snapToGrid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banski.d@bdban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z.bg" TargetMode="External"/><Relationship Id="rId5" Type="http://schemas.openxmlformats.org/officeDocument/2006/relationships/hyperlink" Target="http://www.bbr.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BR">
      <a:majorFont>
        <a:latin typeface="HebarCondensedCYR"/>
        <a:ea typeface=""/>
        <a:cs typeface=""/>
      </a:majorFont>
      <a:minorFont>
        <a:latin typeface="HebarCondensedCY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petrova.n</dc:creator>
  <cp:keywords/>
  <dc:description/>
  <cp:lastModifiedBy>Yanitsa Yankova</cp:lastModifiedBy>
  <cp:revision>23</cp:revision>
  <dcterms:created xsi:type="dcterms:W3CDTF">2015-10-20T10:20:00Z</dcterms:created>
  <dcterms:modified xsi:type="dcterms:W3CDTF">2017-09-29T11:53:00Z</dcterms:modified>
</cp:coreProperties>
</file>