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56" w:rsidRPr="002A45DC" w:rsidRDefault="00030B56" w:rsidP="00030B56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030B56" w:rsidRPr="00947740" w:rsidRDefault="00030B56" w:rsidP="00030B56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030B56" w:rsidRPr="00947740" w:rsidRDefault="00030B56" w:rsidP="00030B56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030B56" w:rsidRPr="00D53CCB" w:rsidRDefault="00030B56" w:rsidP="00030B56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726B04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030B56" w:rsidRPr="007B39FB" w:rsidRDefault="00030B56" w:rsidP="00030B56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B11962">
        <w:rPr>
          <w:rFonts w:ascii="Times New Roman" w:hAnsi="Times New Roman"/>
          <w:b/>
        </w:rPr>
        <w:t>368</w:t>
      </w:r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B11962">
        <w:rPr>
          <w:rFonts w:ascii="Times New Roman" w:hAnsi="Times New Roman"/>
          <w:b/>
        </w:rPr>
        <w:t>16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927827" w:rsidRPr="00927827">
        <w:rPr>
          <w:rFonts w:ascii="Times New Roman" w:hAnsi="Times New Roman"/>
          <w:b/>
          <w:lang w:val="fr-FR"/>
        </w:rPr>
        <w:t>0</w:t>
      </w:r>
      <w:r w:rsidR="00A47A39">
        <w:rPr>
          <w:rFonts w:ascii="Times New Roman" w:hAnsi="Times New Roman"/>
          <w:b/>
          <w:lang w:val="fr-FR"/>
        </w:rPr>
        <w:t>2</w:t>
      </w:r>
      <w:r w:rsidRPr="00726B04">
        <w:rPr>
          <w:rFonts w:ascii="Times New Roman" w:hAnsi="Times New Roman"/>
          <w:b/>
          <w:lang w:val="fr-FR"/>
        </w:rPr>
        <w:t>.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="00927827" w:rsidRPr="00927827">
        <w:rPr>
          <w:rFonts w:ascii="Times New Roman" w:hAnsi="Times New Roman"/>
          <w:b/>
          <w:lang w:val="fr-FR"/>
        </w:rPr>
        <w:t>4</w:t>
      </w:r>
      <w:r w:rsidRPr="007B39FB">
        <w:rPr>
          <w:rFonts w:ascii="Times New Roman" w:hAnsi="Times New Roman"/>
          <w:b/>
        </w:rPr>
        <w:t>г.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030B56" w:rsidRPr="007B39FB" w:rsidRDefault="00030B56" w:rsidP="00030B56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="001B7653" w:rsidRPr="001B7653">
        <w:rPr>
          <w:rFonts w:ascii="Times New Roman" w:eastAsia="Calibri" w:hAnsi="Times New Roman"/>
        </w:rPr>
        <w:t xml:space="preserve"> </w:t>
      </w:r>
      <w:r w:rsidR="001B7653" w:rsidRPr="005223B7">
        <w:rPr>
          <w:rFonts w:ascii="Times New Roman" w:eastAsia="Calibri" w:hAnsi="Times New Roman"/>
        </w:rPr>
        <w:t>Управ</w:t>
      </w:r>
      <w:r w:rsidR="001B7653">
        <w:rPr>
          <w:rFonts w:ascii="Times New Roman" w:eastAsia="Calibri" w:hAnsi="Times New Roman"/>
        </w:rPr>
        <w:t>л</w:t>
      </w:r>
      <w:r w:rsidR="001B7653" w:rsidRPr="005223B7">
        <w:rPr>
          <w:rFonts w:ascii="Times New Roman" w:eastAsia="Calibri" w:hAnsi="Times New Roman"/>
        </w:rPr>
        <w:t>ение на превозите</w:t>
      </w:r>
      <w:r w:rsidR="001B7653"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030B56" w:rsidRPr="007B39FB" w:rsidRDefault="00030B56" w:rsidP="00030B56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030B56" w:rsidRPr="007B39FB" w:rsidRDefault="00030B56" w:rsidP="00030B56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030B56" w:rsidRDefault="00030B56" w:rsidP="00030B56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030B56" w:rsidRPr="00AF7F75" w:rsidRDefault="00030B56" w:rsidP="00030B56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C6216D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16</w:t>
      </w:r>
      <w:r w:rsidRPr="005D40BC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A47A39" w:rsidRPr="00A47A39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927827" w:rsidRPr="00927827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 w:rsidR="00C6216D">
        <w:rPr>
          <w:rStyle w:val="21"/>
          <w:rFonts w:ascii="Times New Roman" w:hAnsi="Times New Roman"/>
          <w:b w:val="0"/>
          <w:bCs w:val="0"/>
          <w:sz w:val="22"/>
          <w:szCs w:val="22"/>
        </w:rPr>
        <w:t>македонските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Z</w:t>
      </w:r>
      <w:r w:rsidR="00C6216D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RSM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A47A39" w:rsidRPr="00A47A39">
        <w:rPr>
          <w:rStyle w:val="22"/>
          <w:rFonts w:ascii="Times New Roman" w:hAnsi="Times New Roman"/>
          <w:b w:val="0"/>
          <w:bCs w:val="0"/>
          <w:sz w:val="22"/>
          <w:szCs w:val="22"/>
        </w:rPr>
        <w:t>1</w:t>
      </w:r>
      <w:r w:rsidR="00CA48B6" w:rsidRPr="00CA48B6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27827" w:rsidRPr="00927827">
        <w:rPr>
          <w:rStyle w:val="22"/>
          <w:rFonts w:ascii="Times New Roman" w:hAnsi="Times New Roman"/>
          <w:b w:val="0"/>
          <w:bCs w:val="0"/>
          <w:sz w:val="22"/>
          <w:szCs w:val="22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E570E" w:rsidRDefault="00030B56" w:rsidP="00D81E32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C57985" w:rsidRPr="00A32B6A">
        <w:rPr>
          <w:rFonts w:ascii="Times New Roman" w:hAnsi="Times New Roman"/>
          <w:b/>
        </w:rPr>
        <w:t xml:space="preserve">  </w:t>
      </w:r>
      <w:r w:rsidR="00C57985">
        <w:rPr>
          <w:rFonts w:ascii="Times New Roman" w:hAnsi="Times New Roman"/>
          <w:b/>
        </w:rPr>
        <w:t xml:space="preserve">  </w:t>
      </w:r>
    </w:p>
    <w:p w:rsidR="00C6216D" w:rsidRPr="00C6216D" w:rsidRDefault="00030B56" w:rsidP="00C6216D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  <w:r w:rsidR="00C6216D" w:rsidRPr="00C6216D">
        <w:rPr>
          <w:rFonts w:ascii="Times New Roman" w:hAnsi="Times New Roman"/>
          <w:b/>
          <w:sz w:val="22"/>
          <w:szCs w:val="22"/>
        </w:rPr>
        <w:t>Македония 65</w:t>
      </w:r>
    </w:p>
    <w:p w:rsidR="00030B56" w:rsidRPr="00C6216D" w:rsidRDefault="00030B56" w:rsidP="00C6216D">
      <w:pPr>
        <w:rPr>
          <w:rFonts w:ascii="Times New Roman" w:hAnsi="Times New Roman"/>
          <w:b/>
          <w:sz w:val="22"/>
        </w:rPr>
      </w:pPr>
      <w:r>
        <w:rPr>
          <w:b/>
          <w:sz w:val="22"/>
        </w:rPr>
        <w:t xml:space="preserve"> </w:t>
      </w:r>
      <w:r w:rsidR="00C6216D" w:rsidRPr="00C6216D">
        <w:rPr>
          <w:rFonts w:ascii="Times New Roman" w:hAnsi="Times New Roman"/>
          <w:b/>
          <w:sz w:val="22"/>
        </w:rPr>
        <w:t>Поради икономическа целесъобразност и липса на дизелови локомотиви, обявяваме следните ограничения за движение на вагони, които преди това не са били освободени от</w:t>
      </w:r>
      <w:r w:rsidR="00C6216D">
        <w:rPr>
          <w:rFonts w:ascii="Times New Roman" w:hAnsi="Times New Roman"/>
          <w:b/>
          <w:sz w:val="22"/>
        </w:rPr>
        <w:t xml:space="preserve"> </w:t>
      </w:r>
      <w:r w:rsidR="00C6216D" w:rsidRPr="00C6216D">
        <w:rPr>
          <w:rFonts w:ascii="Times New Roman" w:hAnsi="Times New Roman"/>
          <w:b/>
          <w:sz w:val="22"/>
        </w:rPr>
        <w:t>такса RIV за целия престой на територията на ZRSM Transport AD Скопие:</w:t>
      </w:r>
    </w:p>
    <w:p w:rsidR="00A47A39" w:rsidRDefault="00C6216D" w:rsidP="00C621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Гари: </w:t>
      </w:r>
    </w:p>
    <w:p w:rsidR="00C6216D" w:rsidRDefault="00C6216D" w:rsidP="00C621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6216D">
        <w:rPr>
          <w:rFonts w:ascii="Times New Roman" w:hAnsi="Times New Roman"/>
          <w:b/>
          <w:sz w:val="22"/>
          <w:szCs w:val="22"/>
        </w:rPr>
        <w:t xml:space="preserve">- Prilep 65 61815- 7 </w:t>
      </w:r>
    </w:p>
    <w:p w:rsidR="00C6216D" w:rsidRDefault="00C6216D" w:rsidP="00C6216D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C6216D">
        <w:rPr>
          <w:rFonts w:ascii="Times New Roman" w:hAnsi="Times New Roman"/>
          <w:b/>
          <w:sz w:val="22"/>
          <w:szCs w:val="22"/>
        </w:rPr>
        <w:t>- Bitola 65 61822-3</w:t>
      </w:r>
    </w:p>
    <w:p w:rsidR="00030B56" w:rsidRPr="008E74B5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E74B5">
        <w:rPr>
          <w:rFonts w:ascii="Times New Roman" w:hAnsi="Times New Roman"/>
          <w:b/>
          <w:sz w:val="22"/>
          <w:szCs w:val="22"/>
        </w:rPr>
        <w:t>всички страни , всички гари</w:t>
      </w:r>
      <w:r w:rsidRPr="008E74B5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</w:p>
    <w:p w:rsidR="00C6216D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 w:rsidR="00927827">
        <w:rPr>
          <w:rFonts w:ascii="Times New Roman" w:hAnsi="Times New Roman"/>
          <w:b/>
          <w:sz w:val="22"/>
          <w:szCs w:val="22"/>
        </w:rPr>
        <w:t>пратки</w:t>
      </w:r>
      <w:r w:rsidR="00A47A39">
        <w:rPr>
          <w:rFonts w:ascii="Times New Roman" w:hAnsi="Times New Roman"/>
          <w:b/>
          <w:sz w:val="22"/>
          <w:szCs w:val="22"/>
        </w:rPr>
        <w:t xml:space="preserve"> </w:t>
      </w:r>
      <w:r w:rsidR="00C6216D">
        <w:rPr>
          <w:rFonts w:ascii="Times New Roman" w:hAnsi="Times New Roman"/>
          <w:b/>
          <w:sz w:val="22"/>
          <w:szCs w:val="22"/>
        </w:rPr>
        <w:t>и празни вагони</w:t>
      </w:r>
    </w:p>
    <w:p w:rsidR="00030B56" w:rsidRDefault="00030B56" w:rsidP="00030B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 w:rsidRPr="005977A8">
        <w:rPr>
          <w:rFonts w:ascii="Times New Roman" w:hAnsi="Times New Roman"/>
          <w:b/>
          <w:sz w:val="22"/>
          <w:szCs w:val="22"/>
        </w:rPr>
        <w:t>всички товари</w:t>
      </w:r>
    </w:p>
    <w:p w:rsidR="007C1B6A" w:rsidRPr="00CC0E49" w:rsidRDefault="00030B56" w:rsidP="007C1B6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030B56">
        <w:rPr>
          <w:rFonts w:ascii="Times New Roman" w:hAnsi="Times New Roman"/>
          <w:b/>
          <w:sz w:val="22"/>
          <w:szCs w:val="22"/>
        </w:rPr>
        <w:t>: от</w:t>
      </w:r>
      <w:r w:rsidRPr="00726B04">
        <w:rPr>
          <w:rFonts w:ascii="Times New Roman" w:hAnsi="Times New Roman"/>
          <w:b/>
          <w:sz w:val="22"/>
          <w:szCs w:val="22"/>
        </w:rPr>
        <w:t xml:space="preserve"> </w:t>
      </w:r>
      <w:r w:rsidRPr="00030B56">
        <w:rPr>
          <w:rFonts w:ascii="Times New Roman" w:hAnsi="Times New Roman"/>
          <w:b/>
          <w:sz w:val="22"/>
          <w:szCs w:val="22"/>
        </w:rPr>
        <w:t xml:space="preserve"> </w:t>
      </w:r>
      <w:r w:rsidR="00C6216D">
        <w:rPr>
          <w:rFonts w:ascii="Times New Roman" w:hAnsi="Times New Roman"/>
          <w:b/>
          <w:sz w:val="22"/>
          <w:szCs w:val="22"/>
        </w:rPr>
        <w:t xml:space="preserve">веднага </w:t>
      </w:r>
      <w:r w:rsidRPr="00030B56">
        <w:rPr>
          <w:rFonts w:ascii="Times New Roman" w:hAnsi="Times New Roman"/>
          <w:b/>
          <w:sz w:val="22"/>
          <w:szCs w:val="22"/>
        </w:rPr>
        <w:t xml:space="preserve"> до </w:t>
      </w:r>
      <w:r w:rsidR="008B6E52">
        <w:rPr>
          <w:rFonts w:ascii="Times New Roman" w:hAnsi="Times New Roman"/>
          <w:b/>
          <w:sz w:val="22"/>
          <w:szCs w:val="22"/>
        </w:rPr>
        <w:t>ново известие</w:t>
      </w:r>
      <w:r w:rsidR="00655E5C" w:rsidRPr="00655E5C">
        <w:rPr>
          <w:rFonts w:ascii="Times New Roman" w:hAnsi="Times New Roman"/>
          <w:b/>
          <w:sz w:val="22"/>
          <w:szCs w:val="22"/>
        </w:rPr>
        <w:t xml:space="preserve"> </w:t>
      </w:r>
      <w:r w:rsidR="00CA48B6">
        <w:rPr>
          <w:rFonts w:ascii="Times New Roman" w:hAnsi="Times New Roman"/>
          <w:b/>
        </w:rPr>
        <w:t xml:space="preserve">  </w:t>
      </w:r>
    </w:p>
    <w:p w:rsidR="001E570E" w:rsidRPr="001E570E" w:rsidRDefault="00030B56" w:rsidP="001E570E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 w:rsidRPr="008654F4">
        <w:rPr>
          <w:rFonts w:ascii="Times New Roman" w:hAnsi="Times New Roman"/>
          <w:b/>
          <w:sz w:val="22"/>
          <w:szCs w:val="22"/>
        </w:rPr>
        <w:t xml:space="preserve">- </w:t>
      </w:r>
      <w:r w:rsidR="00180E79">
        <w:rPr>
          <w:rFonts w:ascii="Times New Roman" w:hAnsi="Times New Roman"/>
        </w:rPr>
        <w:t xml:space="preserve"> </w:t>
      </w:r>
      <w:r w:rsidR="001E570E" w:rsidRPr="001E570E">
        <w:rPr>
          <w:rFonts w:ascii="Times New Roman" w:hAnsi="Times New Roman"/>
          <w:b/>
          <w:sz w:val="22"/>
          <w:szCs w:val="22"/>
        </w:rPr>
        <w:t xml:space="preserve"> ще се спират и ще се иска разпореждане на право имащите.</w:t>
      </w:r>
    </w:p>
    <w:p w:rsidR="00F57AC8" w:rsidRPr="001E570E" w:rsidRDefault="00F57AC8" w:rsidP="001E570E">
      <w:pPr>
        <w:rPr>
          <w:rFonts w:ascii="Times New Roman" w:hAnsi="Times New Roman"/>
          <w:b/>
          <w:sz w:val="22"/>
          <w:szCs w:val="22"/>
        </w:rPr>
      </w:pPr>
    </w:p>
    <w:p w:rsidR="00030B56" w:rsidRPr="00A47A39" w:rsidRDefault="00030B56" w:rsidP="00030B56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A47A39" w:rsidRDefault="001B7653" w:rsidP="00030B56">
      <w:pPr>
        <w:rPr>
          <w:rFonts w:ascii="Times New Roman" w:hAnsi="Times New Roman"/>
          <w:sz w:val="22"/>
          <w:szCs w:val="22"/>
        </w:rPr>
      </w:pPr>
    </w:p>
    <w:p w:rsidR="001B7653" w:rsidRPr="00DD0189" w:rsidRDefault="001B7653" w:rsidP="001B7653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инж.С.Сергиев</w:t>
      </w:r>
    </w:p>
    <w:p w:rsidR="001B7653" w:rsidRDefault="001B7653" w:rsidP="001B7653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030B56" w:rsidRDefault="00030B56" w:rsidP="00030B56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5919EF" w:rsidRDefault="005919EF" w:rsidP="005919E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5919EF" w:rsidRPr="005F2A89" w:rsidRDefault="005919EF" w:rsidP="005919EF">
      <w:pPr>
        <w:rPr>
          <w:rFonts w:ascii="Times New Roman" w:hAnsi="Times New Roman"/>
          <w:b/>
          <w:sz w:val="22"/>
          <w:szCs w:val="22"/>
        </w:rPr>
      </w:pPr>
    </w:p>
    <w:p w:rsidR="005919EF" w:rsidRPr="00250F57" w:rsidRDefault="005919EF" w:rsidP="005919EF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5919EF" w:rsidRPr="00250F57" w:rsidRDefault="005919EF" w:rsidP="005919EF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395A1B" w:rsidRDefault="005919EF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26B04">
        <w:rPr>
          <w:rFonts w:ascii="Times New Roman" w:hAnsi="Times New Roman"/>
          <w:b/>
        </w:rPr>
        <w:t>Е</w:t>
      </w:r>
      <w:r w:rsidRPr="0099463A">
        <w:rPr>
          <w:rFonts w:ascii="Times New Roman" w:hAnsi="Times New Roman"/>
          <w:b/>
        </w:rPr>
        <w:t>.К</w:t>
      </w:r>
      <w:r w:rsidR="00726B04">
        <w:rPr>
          <w:rFonts w:ascii="Times New Roman" w:hAnsi="Times New Roman"/>
          <w:b/>
        </w:rPr>
        <w:t>ирова</w:t>
      </w:r>
    </w:p>
    <w:sectPr w:rsidR="00395A1B" w:rsidSect="002C076F">
      <w:pgSz w:w="11905" w:h="16837"/>
      <w:pgMar w:top="23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72124"/>
    <w:multiLevelType w:val="hybridMultilevel"/>
    <w:tmpl w:val="F2880436"/>
    <w:lvl w:ilvl="0" w:tplc="19F2C70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30B56"/>
    <w:rsid w:val="00030B56"/>
    <w:rsid w:val="000D22C7"/>
    <w:rsid w:val="00133D26"/>
    <w:rsid w:val="00180E79"/>
    <w:rsid w:val="001B7653"/>
    <w:rsid w:val="001E570E"/>
    <w:rsid w:val="002A27B0"/>
    <w:rsid w:val="003313E1"/>
    <w:rsid w:val="00395A1B"/>
    <w:rsid w:val="003C2F2D"/>
    <w:rsid w:val="003D10A0"/>
    <w:rsid w:val="004A288A"/>
    <w:rsid w:val="005364F0"/>
    <w:rsid w:val="005919EF"/>
    <w:rsid w:val="005A0B53"/>
    <w:rsid w:val="005F3517"/>
    <w:rsid w:val="00622FFB"/>
    <w:rsid w:val="00655E5C"/>
    <w:rsid w:val="006D1A63"/>
    <w:rsid w:val="0071172E"/>
    <w:rsid w:val="00726B04"/>
    <w:rsid w:val="0074030E"/>
    <w:rsid w:val="007C1B6A"/>
    <w:rsid w:val="00804FA1"/>
    <w:rsid w:val="00853B19"/>
    <w:rsid w:val="00876602"/>
    <w:rsid w:val="00892020"/>
    <w:rsid w:val="008B6E52"/>
    <w:rsid w:val="008E6088"/>
    <w:rsid w:val="00910669"/>
    <w:rsid w:val="00927827"/>
    <w:rsid w:val="009719ED"/>
    <w:rsid w:val="00990A23"/>
    <w:rsid w:val="009B213C"/>
    <w:rsid w:val="009C04B4"/>
    <w:rsid w:val="00A36468"/>
    <w:rsid w:val="00A47A39"/>
    <w:rsid w:val="00AF10F0"/>
    <w:rsid w:val="00B00FAA"/>
    <w:rsid w:val="00B03E0A"/>
    <w:rsid w:val="00B11962"/>
    <w:rsid w:val="00B22611"/>
    <w:rsid w:val="00B66AB7"/>
    <w:rsid w:val="00BB1E36"/>
    <w:rsid w:val="00BD7033"/>
    <w:rsid w:val="00C57985"/>
    <w:rsid w:val="00C6216D"/>
    <w:rsid w:val="00CA48B6"/>
    <w:rsid w:val="00CC0E49"/>
    <w:rsid w:val="00D81E32"/>
    <w:rsid w:val="00DB53E7"/>
    <w:rsid w:val="00DD0E22"/>
    <w:rsid w:val="00DD5B09"/>
    <w:rsid w:val="00DE0D3D"/>
    <w:rsid w:val="00EC7B81"/>
    <w:rsid w:val="00ED1C4D"/>
    <w:rsid w:val="00EF176A"/>
    <w:rsid w:val="00F436D1"/>
    <w:rsid w:val="00F5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B56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030B56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030B56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6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ListParagraph">
    <w:name w:val="List Paragraph"/>
    <w:basedOn w:val="Normal"/>
    <w:uiPriority w:val="34"/>
    <w:qFormat/>
    <w:rsid w:val="00726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26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34</cp:revision>
  <dcterms:created xsi:type="dcterms:W3CDTF">2023-06-06T12:33:00Z</dcterms:created>
  <dcterms:modified xsi:type="dcterms:W3CDTF">2024-03-21T12:04:00Z</dcterms:modified>
</cp:coreProperties>
</file>