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53" w:rsidRPr="002A45DC" w:rsidRDefault="00951753" w:rsidP="0095175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53" w:rsidRPr="00947740" w:rsidRDefault="00951753" w:rsidP="0095175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51753" w:rsidRPr="00947740" w:rsidRDefault="00951753" w:rsidP="0095175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51753" w:rsidRPr="00947740" w:rsidRDefault="00951753" w:rsidP="0095175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51753" w:rsidRPr="00947740" w:rsidRDefault="00951753" w:rsidP="0095175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51753" w:rsidRPr="00D53CCB" w:rsidRDefault="00951753" w:rsidP="0095175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51753" w:rsidRPr="007B39FB" w:rsidRDefault="00951753" w:rsidP="0095175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82566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51753" w:rsidRPr="007B39FB" w:rsidRDefault="00951753" w:rsidP="0095175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82566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7C1FA7">
        <w:rPr>
          <w:rFonts w:ascii="Times New Roman" w:hAnsi="Times New Roman"/>
          <w:b/>
        </w:rPr>
        <w:t>2428 / 28</w:t>
      </w:r>
      <w:r>
        <w:rPr>
          <w:rFonts w:ascii="Times New Roman" w:hAnsi="Times New Roman"/>
          <w:b/>
        </w:rPr>
        <w:t xml:space="preserve"> .09</w:t>
      </w:r>
      <w:r>
        <w:rPr>
          <w:rFonts w:ascii="Times New Roman" w:hAnsi="Times New Roman"/>
          <w:b/>
          <w:lang w:val="en-US"/>
        </w:rPr>
        <w:t xml:space="preserve">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 xml:space="preserve">2 </w:t>
      </w:r>
      <w:r w:rsidRPr="007B39FB">
        <w:rPr>
          <w:rFonts w:ascii="Times New Roman" w:hAnsi="Times New Roman"/>
          <w:b/>
        </w:rPr>
        <w:t>г.</w:t>
      </w:r>
    </w:p>
    <w:p w:rsidR="00951753" w:rsidRPr="007B39FB" w:rsidRDefault="00951753" w:rsidP="0095175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51753" w:rsidRPr="007B39FB" w:rsidRDefault="00951753" w:rsidP="0095175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51753" w:rsidRPr="007B39FB" w:rsidRDefault="00951753" w:rsidP="0095175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51753" w:rsidRPr="007B39FB" w:rsidRDefault="00951753" w:rsidP="0095175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51753" w:rsidRPr="007B39FB" w:rsidRDefault="00951753" w:rsidP="0095175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51753" w:rsidRPr="007B39FB" w:rsidRDefault="00951753" w:rsidP="0095175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951753" w:rsidRDefault="00951753" w:rsidP="0095175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51753" w:rsidRPr="002E6A13" w:rsidRDefault="00951753" w:rsidP="00951753">
      <w:pPr>
        <w:jc w:val="both"/>
        <w:rPr>
          <w:rFonts w:ascii="Times New Roman" w:hAnsi="Times New Roman"/>
          <w:sz w:val="22"/>
          <w:szCs w:val="22"/>
        </w:rPr>
      </w:pP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На основание 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09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A82566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>г. унгарските  железници (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RCH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2E6A1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2E6A13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4C3E0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2E6A1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425</w:t>
      </w:r>
      <w:r w:rsidRPr="00A8256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2E6A13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A82566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2E6A13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51753" w:rsidRPr="002E6A13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51753" w:rsidRPr="002E6A13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FF49E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технически причини </w:t>
      </w:r>
    </w:p>
    <w:p w:rsidR="00951753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51753" w:rsidRPr="008A5A12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E6A13">
        <w:rPr>
          <w:rFonts w:ascii="Times New Roman" w:hAnsi="Times New Roman"/>
          <w:sz w:val="22"/>
          <w:szCs w:val="22"/>
        </w:rPr>
        <w:t xml:space="preserve">: </w:t>
      </w:r>
      <w:r w:rsidRPr="00951753">
        <w:rPr>
          <w:rFonts w:ascii="Times New Roman" w:hAnsi="Times New Roman"/>
          <w:b/>
          <w:sz w:val="22"/>
          <w:szCs w:val="22"/>
        </w:rPr>
        <w:t xml:space="preserve">международен транзитен трафик на граничния пункт </w:t>
      </w:r>
      <w:proofErr w:type="spellStart"/>
      <w:r w:rsidRPr="00951753">
        <w:rPr>
          <w:rFonts w:ascii="Times New Roman" w:hAnsi="Times New Roman"/>
          <w:b/>
          <w:sz w:val="22"/>
          <w:szCs w:val="22"/>
        </w:rPr>
        <w:t>Röszke</w:t>
      </w:r>
      <w:proofErr w:type="spellEnd"/>
      <w:r w:rsidRPr="00951753">
        <w:rPr>
          <w:rFonts w:ascii="Times New Roman" w:hAnsi="Times New Roman"/>
          <w:b/>
          <w:sz w:val="22"/>
          <w:szCs w:val="22"/>
        </w:rPr>
        <w:t xml:space="preserve">/MÁV (712) </w:t>
      </w:r>
      <w:proofErr w:type="spellStart"/>
      <w:r w:rsidRPr="00951753">
        <w:rPr>
          <w:rFonts w:ascii="Times New Roman" w:hAnsi="Times New Roman"/>
          <w:b/>
          <w:sz w:val="22"/>
          <w:szCs w:val="22"/>
        </w:rPr>
        <w:t>Horgos</w:t>
      </w:r>
      <w:proofErr w:type="spellEnd"/>
      <w:r w:rsidRPr="00951753">
        <w:rPr>
          <w:rFonts w:ascii="Times New Roman" w:hAnsi="Times New Roman"/>
          <w:b/>
          <w:sz w:val="22"/>
          <w:szCs w:val="22"/>
        </w:rPr>
        <w:t>/ZS в двете посоки.</w:t>
      </w:r>
    </w:p>
    <w:p w:rsidR="00951753" w:rsidRPr="002E6A13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51753" w:rsidRPr="004A3E09" w:rsidRDefault="00951753" w:rsidP="00951753">
      <w:pPr>
        <w:tabs>
          <w:tab w:val="left" w:pos="181"/>
        </w:tabs>
        <w:jc w:val="both"/>
        <w:rPr>
          <w:rFonts w:ascii="Times New Roman" w:hAnsi="Times New Roman"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E6A13">
        <w:rPr>
          <w:rFonts w:ascii="Times New Roman" w:hAnsi="Times New Roman"/>
          <w:sz w:val="22"/>
          <w:szCs w:val="22"/>
        </w:rPr>
        <w:t xml:space="preserve">: </w:t>
      </w:r>
      <w:r w:rsidRPr="00951753">
        <w:rPr>
          <w:rFonts w:ascii="Times New Roman" w:hAnsi="Times New Roman"/>
          <w:b/>
        </w:rPr>
        <w:t>всички държави, всички железопътни гари</w:t>
      </w:r>
    </w:p>
    <w:p w:rsidR="00951753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51753" w:rsidRPr="004A3E09" w:rsidRDefault="00951753" w:rsidP="00951753">
      <w:pPr>
        <w:tabs>
          <w:tab w:val="left" w:pos="181"/>
        </w:tabs>
        <w:jc w:val="both"/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Pr="002E6A13">
        <w:rPr>
          <w:rFonts w:ascii="Times New Roman" w:hAnsi="Times New Roman"/>
          <w:sz w:val="22"/>
          <w:szCs w:val="22"/>
        </w:rPr>
        <w:t xml:space="preserve">: </w:t>
      </w:r>
      <w:r w:rsidRPr="00951753">
        <w:rPr>
          <w:rFonts w:ascii="Times New Roman" w:hAnsi="Times New Roman"/>
          <w:b/>
          <w:sz w:val="22"/>
          <w:szCs w:val="22"/>
        </w:rPr>
        <w:t>Всички пратки и всички стоки, празни вагони и повторно изпратени (RX) пратки</w:t>
      </w:r>
    </w:p>
    <w:p w:rsid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</w:p>
    <w:p w:rsidR="00951753" w:rsidRDefault="00951753" w:rsidP="00951753">
      <w:pPr>
        <w:jc w:val="both"/>
        <w:rPr>
          <w:rFonts w:ascii="Times New Roman" w:hAnsi="Times New Roman"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2E6A13">
        <w:rPr>
          <w:rFonts w:ascii="Times New Roman" w:hAnsi="Times New Roman"/>
          <w:sz w:val="22"/>
          <w:szCs w:val="22"/>
        </w:rPr>
        <w:t xml:space="preserve">:  </w:t>
      </w:r>
      <w:r w:rsidRPr="002E6A13">
        <w:rPr>
          <w:rFonts w:ascii="Times New Roman" w:hAnsi="Times New Roman"/>
          <w:b/>
          <w:sz w:val="22"/>
          <w:szCs w:val="22"/>
        </w:rPr>
        <w:t xml:space="preserve">  </w:t>
      </w:r>
      <w:r w:rsidRPr="004A3E09">
        <w:rPr>
          <w:rFonts w:ascii="Times New Roman" w:hAnsi="Times New Roman"/>
          <w:b/>
          <w:sz w:val="22"/>
          <w:szCs w:val="22"/>
        </w:rPr>
        <w:t>всички товари</w:t>
      </w:r>
    </w:p>
    <w:p w:rsidR="00951753" w:rsidRP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  <w:r w:rsidRPr="000E1513">
        <w:rPr>
          <w:rFonts w:ascii="Times New Roman" w:hAnsi="Times New Roman"/>
          <w:b/>
          <w:sz w:val="22"/>
          <w:szCs w:val="22"/>
          <w:u w:val="single"/>
        </w:rPr>
        <w:t>Изключение</w:t>
      </w:r>
      <w:r>
        <w:rPr>
          <w:rFonts w:ascii="Times New Roman" w:hAnsi="Times New Roman"/>
          <w:b/>
          <w:sz w:val="22"/>
          <w:szCs w:val="22"/>
        </w:rPr>
        <w:t>:</w:t>
      </w:r>
      <w:r w:rsidRPr="00951753">
        <w:t xml:space="preserve"> </w:t>
      </w:r>
      <w:r w:rsidRPr="00951753">
        <w:rPr>
          <w:rFonts w:ascii="Times New Roman" w:hAnsi="Times New Roman"/>
          <w:b/>
          <w:sz w:val="22"/>
          <w:szCs w:val="22"/>
        </w:rPr>
        <w:t>Всички пратки и всички стоки, празни вагони и повторно изпратени (RX) пратки.</w:t>
      </w:r>
    </w:p>
    <w:p w:rsidR="00951753" w:rsidRP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 w:rsidRPr="00951753">
        <w:rPr>
          <w:rFonts w:ascii="Times New Roman" w:hAnsi="Times New Roman"/>
          <w:b/>
          <w:sz w:val="22"/>
          <w:szCs w:val="22"/>
        </w:rPr>
        <w:t xml:space="preserve">Блокиране на влакове в двете посоки, </w:t>
      </w:r>
      <w:r w:rsidRPr="00951753">
        <w:rPr>
          <w:rFonts w:ascii="Times New Roman" w:hAnsi="Times New Roman"/>
          <w:b/>
          <w:sz w:val="22"/>
          <w:szCs w:val="22"/>
        </w:rPr>
        <w:t> Формиране на влакове чрез събиране на вагони в посока север-юг (напр. Балкански влакове)</w:t>
      </w:r>
    </w:p>
    <w:p w:rsidR="00951753" w:rsidRP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 w:rsidRPr="00951753">
        <w:rPr>
          <w:rFonts w:ascii="Times New Roman" w:hAnsi="Times New Roman"/>
          <w:b/>
          <w:sz w:val="22"/>
          <w:szCs w:val="22"/>
        </w:rPr>
        <w:t xml:space="preserve"> трафик на единични вагони и групи вагони в посока Хоргош-Рьоске (юг-север)</w:t>
      </w:r>
    </w:p>
    <w:p w:rsid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 w:rsidRPr="00951753">
        <w:rPr>
          <w:rFonts w:ascii="Times New Roman" w:hAnsi="Times New Roman"/>
          <w:b/>
          <w:sz w:val="22"/>
          <w:szCs w:val="22"/>
        </w:rPr>
        <w:t xml:space="preserve"> празни вагони в посока юг-север</w:t>
      </w:r>
    </w:p>
    <w:p w:rsidR="00951753" w:rsidRP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  <w:r w:rsidRPr="00951753">
        <w:rPr>
          <w:rFonts w:ascii="Times New Roman" w:hAnsi="Times New Roman"/>
          <w:b/>
          <w:sz w:val="22"/>
          <w:szCs w:val="22"/>
        </w:rPr>
        <w:t xml:space="preserve">Разпоредби в двете посоки: Ако превозвачът е RCH, платецът на товара за блок влака трябва да поиска предварително одобрение от RCH по имейл </w:t>
      </w:r>
      <w:proofErr w:type="spellStart"/>
      <w:r w:rsidRPr="00951753">
        <w:rPr>
          <w:rFonts w:ascii="Times New Roman" w:hAnsi="Times New Roman"/>
          <w:b/>
          <w:sz w:val="22"/>
          <w:szCs w:val="22"/>
        </w:rPr>
        <w:t>rchun_uzemiranyito@railcargo</w:t>
      </w:r>
      <w:proofErr w:type="spellEnd"/>
      <w:r w:rsidRPr="00951753">
        <w:rPr>
          <w:rFonts w:ascii="Times New Roman" w:hAnsi="Times New Roman"/>
          <w:b/>
          <w:sz w:val="22"/>
          <w:szCs w:val="22"/>
        </w:rPr>
        <w:t>.</w:t>
      </w:r>
      <w:proofErr w:type="spellStart"/>
      <w:r w:rsidRPr="00951753">
        <w:rPr>
          <w:rFonts w:ascii="Times New Roman" w:hAnsi="Times New Roman"/>
          <w:b/>
          <w:sz w:val="22"/>
          <w:szCs w:val="22"/>
        </w:rPr>
        <w:t>com</w:t>
      </w:r>
      <w:proofErr w:type="spellEnd"/>
      <w:r w:rsidRPr="00951753">
        <w:rPr>
          <w:rFonts w:ascii="Times New Roman" w:hAnsi="Times New Roman"/>
          <w:b/>
          <w:sz w:val="22"/>
          <w:szCs w:val="22"/>
        </w:rPr>
        <w:t>. Полученият номер на одобрение трябва да бъде въведен в поле 7 на товарителницата под код 16. Нито един блок-влак няма да бъде приет/поет без одобрение.</w:t>
      </w:r>
    </w:p>
    <w:p w:rsidR="00951753" w:rsidRPr="00951753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  <w:r w:rsidRPr="00951753">
        <w:rPr>
          <w:rFonts w:ascii="Times New Roman" w:hAnsi="Times New Roman"/>
          <w:b/>
          <w:sz w:val="22"/>
          <w:szCs w:val="22"/>
        </w:rPr>
        <w:t>Транзитни блок-влакове през Сърбия в посока юг-север: всички блок-влакове трябва да бъдат регистрирани за RCH. Предварителното уведомление трябва да бъде изпратено от превозвача, който предава блок влака на сръбския превозвач. Предварителното уведомление (</w:t>
      </w:r>
      <w:proofErr w:type="spellStart"/>
      <w:r w:rsidRPr="00951753">
        <w:rPr>
          <w:rFonts w:ascii="Times New Roman" w:hAnsi="Times New Roman"/>
          <w:b/>
          <w:sz w:val="22"/>
          <w:szCs w:val="22"/>
        </w:rPr>
        <w:t>Zugaviso</w:t>
      </w:r>
      <w:proofErr w:type="spellEnd"/>
      <w:r w:rsidRPr="00951753">
        <w:rPr>
          <w:rFonts w:ascii="Times New Roman" w:hAnsi="Times New Roman"/>
          <w:b/>
          <w:sz w:val="22"/>
          <w:szCs w:val="22"/>
        </w:rPr>
        <w:t>) трябва да бъде изпратено до RCH най-малко 24 часа преди планираното предаване.</w:t>
      </w:r>
    </w:p>
    <w:p w:rsidR="00951753" w:rsidRPr="0098623D" w:rsidRDefault="00951753" w:rsidP="00951753">
      <w:pPr>
        <w:jc w:val="both"/>
        <w:rPr>
          <w:rFonts w:ascii="Times New Roman" w:hAnsi="Times New Roman"/>
          <w:b/>
          <w:sz w:val="22"/>
          <w:szCs w:val="22"/>
        </w:rPr>
      </w:pPr>
    </w:p>
    <w:p w:rsidR="00951753" w:rsidRDefault="00951753" w:rsidP="00951753">
      <w:pPr>
        <w:tabs>
          <w:tab w:val="left" w:pos="181"/>
        </w:tabs>
        <w:jc w:val="both"/>
        <w:rPr>
          <w:rFonts w:ascii="Times New Roman" w:hAnsi="Times New Roman"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6.Срок на валидност</w:t>
      </w:r>
      <w:r w:rsidRPr="002E6A13">
        <w:rPr>
          <w:rFonts w:ascii="Times New Roman" w:hAnsi="Times New Roman"/>
          <w:sz w:val="22"/>
          <w:szCs w:val="22"/>
        </w:rPr>
        <w:t xml:space="preserve">: </w:t>
      </w:r>
      <w:r w:rsidRPr="00951753">
        <w:rPr>
          <w:rFonts w:ascii="Times New Roman" w:hAnsi="Times New Roman"/>
          <w:b/>
          <w:sz w:val="22"/>
          <w:szCs w:val="22"/>
        </w:rPr>
        <w:t>от 01.08.2022 г. 00:00 ч. до второ нареждане</w:t>
      </w:r>
    </w:p>
    <w:p w:rsidR="00951753" w:rsidRDefault="00951753" w:rsidP="00951753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951753" w:rsidRPr="00C70FB8" w:rsidRDefault="00951753" w:rsidP="00951753">
      <w:pPr>
        <w:tabs>
          <w:tab w:val="left" w:pos="8385"/>
        </w:tabs>
        <w:rPr>
          <w:rFonts w:ascii="Times New Roman" w:hAnsi="Times New Roman"/>
          <w:b/>
        </w:rPr>
      </w:pPr>
      <w:r w:rsidRPr="002E6A13">
        <w:rPr>
          <w:rFonts w:ascii="Times New Roman" w:hAnsi="Times New Roman"/>
          <w:b/>
          <w:sz w:val="22"/>
          <w:szCs w:val="22"/>
        </w:rPr>
        <w:t>7.Пратките на път :</w:t>
      </w:r>
      <w:r w:rsidRPr="002E6A1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П</w:t>
      </w:r>
      <w:r w:rsidRPr="00C70FB8">
        <w:rPr>
          <w:rFonts w:ascii="Times New Roman" w:hAnsi="Times New Roman"/>
          <w:b/>
        </w:rPr>
        <w:t>ратките ще се спират и ще се иска разпореждане на право имащите.</w:t>
      </w:r>
    </w:p>
    <w:p w:rsidR="00951753" w:rsidRDefault="00951753" w:rsidP="00951753">
      <w:pPr>
        <w:jc w:val="both"/>
        <w:rPr>
          <w:rFonts w:ascii="Times New Roman" w:hAnsi="Times New Roman"/>
          <w:sz w:val="22"/>
          <w:szCs w:val="22"/>
        </w:rPr>
      </w:pPr>
    </w:p>
    <w:p w:rsidR="00951753" w:rsidRPr="002E6A13" w:rsidRDefault="00951753" w:rsidP="00951753">
      <w:pPr>
        <w:rPr>
          <w:rFonts w:ascii="Times New Roman" w:hAnsi="Times New Roman"/>
          <w:sz w:val="22"/>
          <w:szCs w:val="22"/>
        </w:rPr>
      </w:pPr>
      <w:r w:rsidRPr="002E6A13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51753" w:rsidRPr="002E6A13" w:rsidRDefault="00951753" w:rsidP="00951753">
      <w:pPr>
        <w:rPr>
          <w:rFonts w:ascii="Times New Roman" w:hAnsi="Times New Roman"/>
          <w:b/>
          <w:sz w:val="22"/>
          <w:szCs w:val="22"/>
        </w:rPr>
      </w:pPr>
    </w:p>
    <w:p w:rsidR="00EA533B" w:rsidRDefault="00951753" w:rsidP="00951753">
      <w:pPr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инж.</w:t>
      </w:r>
      <w:r w:rsidR="00EA533B">
        <w:rPr>
          <w:rFonts w:ascii="Times New Roman" w:hAnsi="Times New Roman"/>
          <w:b/>
          <w:sz w:val="22"/>
          <w:szCs w:val="22"/>
        </w:rPr>
        <w:t>Иво Ленков</w:t>
      </w:r>
    </w:p>
    <w:p w:rsidR="00951753" w:rsidRPr="002E6A13" w:rsidRDefault="00EA533B" w:rsidP="00951753">
      <w:pPr>
        <w:rPr>
          <w:rFonts w:ascii="Times New Roman" w:hAnsi="Times New Roman"/>
          <w:i/>
          <w:sz w:val="22"/>
          <w:szCs w:val="22"/>
        </w:rPr>
      </w:pPr>
      <w:r w:rsidRPr="00EA533B">
        <w:rPr>
          <w:rFonts w:ascii="Times New Roman" w:hAnsi="Times New Roman"/>
          <w:sz w:val="22"/>
          <w:szCs w:val="22"/>
        </w:rPr>
        <w:t>Зам.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951753" w:rsidRPr="002E6A13">
        <w:rPr>
          <w:rFonts w:ascii="Times New Roman" w:hAnsi="Times New Roman"/>
          <w:b/>
          <w:sz w:val="22"/>
          <w:szCs w:val="22"/>
        </w:rPr>
        <w:t xml:space="preserve"> </w:t>
      </w:r>
      <w:r w:rsidR="00951753" w:rsidRPr="002E6A13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951753" w:rsidRPr="002E6A13" w:rsidRDefault="00951753" w:rsidP="00951753">
      <w:pPr>
        <w:rPr>
          <w:rFonts w:ascii="Times New Roman" w:hAnsi="Times New Roman"/>
          <w:b/>
          <w:sz w:val="22"/>
          <w:szCs w:val="22"/>
        </w:rPr>
      </w:pPr>
    </w:p>
    <w:p w:rsidR="00951753" w:rsidRDefault="00951753" w:rsidP="00951753">
      <w:pPr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lastRenderedPageBreak/>
        <w:t>Съгласувано:</w:t>
      </w:r>
    </w:p>
    <w:p w:rsidR="00951753" w:rsidRPr="002E6A13" w:rsidRDefault="00951753" w:rsidP="00951753">
      <w:pPr>
        <w:rPr>
          <w:rFonts w:ascii="Times New Roman" w:hAnsi="Times New Roman"/>
          <w:b/>
          <w:sz w:val="22"/>
          <w:szCs w:val="22"/>
        </w:rPr>
      </w:pPr>
    </w:p>
    <w:p w:rsidR="00951753" w:rsidRPr="002E6A13" w:rsidRDefault="00951753" w:rsidP="00951753">
      <w:pPr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инж.С.Сергиев</w:t>
      </w:r>
    </w:p>
    <w:p w:rsidR="00951753" w:rsidRPr="002E6A13" w:rsidRDefault="00951753" w:rsidP="00951753">
      <w:pPr>
        <w:rPr>
          <w:rFonts w:ascii="Times New Roman" w:hAnsi="Times New Roman"/>
          <w:i/>
          <w:sz w:val="22"/>
          <w:szCs w:val="22"/>
        </w:rPr>
      </w:pPr>
      <w:r w:rsidRPr="002E6A13">
        <w:rPr>
          <w:rFonts w:ascii="Times New Roman" w:hAnsi="Times New Roman"/>
          <w:i/>
          <w:sz w:val="22"/>
          <w:szCs w:val="22"/>
        </w:rPr>
        <w:t xml:space="preserve">Ръководител отдел „Оперативно управление  на превозите”          </w:t>
      </w:r>
    </w:p>
    <w:p w:rsidR="00951753" w:rsidRDefault="00951753" w:rsidP="00951753">
      <w:pPr>
        <w:rPr>
          <w:rFonts w:ascii="Times New Roman" w:hAnsi="Times New Roman"/>
          <w:b/>
          <w:sz w:val="22"/>
          <w:szCs w:val="22"/>
        </w:rPr>
      </w:pPr>
    </w:p>
    <w:p w:rsidR="00951753" w:rsidRPr="002E6A13" w:rsidRDefault="00951753" w:rsidP="00951753">
      <w:pPr>
        <w:rPr>
          <w:rFonts w:ascii="Times New Roman" w:hAnsi="Times New Roman"/>
          <w:b/>
          <w:sz w:val="22"/>
          <w:szCs w:val="22"/>
        </w:rPr>
      </w:pPr>
      <w:r w:rsidRPr="002E6A13">
        <w:rPr>
          <w:rFonts w:ascii="Times New Roman" w:hAnsi="Times New Roman"/>
          <w:b/>
          <w:sz w:val="22"/>
          <w:szCs w:val="22"/>
        </w:rPr>
        <w:t>инж.Н.Христов</w:t>
      </w:r>
    </w:p>
    <w:p w:rsidR="00951753" w:rsidRPr="009F453F" w:rsidRDefault="00951753" w:rsidP="00951753">
      <w:pPr>
        <w:rPr>
          <w:rFonts w:ascii="Times New Roman" w:hAnsi="Times New Roman"/>
          <w:sz w:val="22"/>
          <w:szCs w:val="22"/>
          <w:lang w:val="ru-RU"/>
        </w:rPr>
      </w:pPr>
      <w:r w:rsidRPr="002E6A13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 </w:t>
      </w:r>
      <w:r w:rsidRPr="002E6A13">
        <w:rPr>
          <w:rFonts w:ascii="Times New Roman" w:hAnsi="Times New Roman"/>
          <w:sz w:val="22"/>
          <w:szCs w:val="22"/>
        </w:rPr>
        <w:t xml:space="preserve">изготвил: </w:t>
      </w:r>
      <w:r w:rsidR="0035659A">
        <w:rPr>
          <w:rFonts w:ascii="Times New Roman" w:hAnsi="Times New Roman"/>
          <w:sz w:val="22"/>
          <w:szCs w:val="22"/>
        </w:rPr>
        <w:t>Г.Крумов</w:t>
      </w:r>
    </w:p>
    <w:p w:rsidR="00FD76DF" w:rsidRDefault="00FD76DF"/>
    <w:sectPr w:rsidR="00FD76DF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1753"/>
    <w:rsid w:val="00210573"/>
    <w:rsid w:val="0035659A"/>
    <w:rsid w:val="007C1FA7"/>
    <w:rsid w:val="00951753"/>
    <w:rsid w:val="00EA533B"/>
    <w:rsid w:val="00FD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5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1753"/>
    <w:rPr>
      <w:color w:val="0000FF"/>
      <w:u w:val="single"/>
    </w:rPr>
  </w:style>
  <w:style w:type="character" w:customStyle="1" w:styleId="21">
    <w:name w:val="Основен текст (2) + Не е удебелен1"/>
    <w:rsid w:val="0095175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5175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5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2022-09-28T11:20:00Z</dcterms:created>
  <dcterms:modified xsi:type="dcterms:W3CDTF">2022-09-28T13:24:00Z</dcterms:modified>
</cp:coreProperties>
</file>